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B6AEF" w14:textId="77777777" w:rsidR="000C511F" w:rsidRPr="00941652" w:rsidRDefault="00941652" w:rsidP="000C511F">
      <w:pPr>
        <w:pStyle w:val="Header"/>
        <w:jc w:val="center"/>
        <w:rPr>
          <w:b/>
          <w:lang w:val="es-ES"/>
        </w:rPr>
      </w:pPr>
      <w:bookmarkStart w:id="0" w:name="_GoBack"/>
      <w:bookmarkEnd w:id="0"/>
      <w:r w:rsidRPr="00941652">
        <w:rPr>
          <w:b/>
          <w:bCs/>
          <w:bdr w:val="nil"/>
          <w:lang w:val="es-ES"/>
        </w:rPr>
        <w:t>Para más detalles, llame al 1-800-311-7343</w:t>
      </w:r>
    </w:p>
    <w:p w14:paraId="6B9237AD" w14:textId="77777777" w:rsidR="000C511F" w:rsidRPr="00941652" w:rsidRDefault="003F2308">
      <w:pPr>
        <w:jc w:val="center"/>
        <w:rPr>
          <w:b/>
          <w:lang w:val="es-ES"/>
        </w:rPr>
      </w:pPr>
    </w:p>
    <w:p w14:paraId="636ED46B" w14:textId="77777777" w:rsidR="00CC2E5E" w:rsidRPr="00941652" w:rsidRDefault="00941652" w:rsidP="00CE2450">
      <w:pPr>
        <w:jc w:val="center"/>
        <w:rPr>
          <w:b/>
          <w:lang w:val="es-ES"/>
        </w:rPr>
      </w:pPr>
      <w:r w:rsidRPr="00941652">
        <w:rPr>
          <w:b/>
          <w:bCs/>
          <w:bdr w:val="nil"/>
          <w:lang w:val="es-ES"/>
        </w:rPr>
        <w:t xml:space="preserve">NOTIFICACIÓN DE LA PETICIÓN DE SAN DIEGO GAS &amp; ELECTRIC COMPANY </w:t>
      </w:r>
      <w:r w:rsidR="00ED4071" w:rsidRPr="00941652">
        <w:rPr>
          <w:b/>
          <w:bCs/>
          <w:bdr w:val="nil"/>
          <w:lang w:val="es-ES"/>
        </w:rPr>
        <w:t>PARA</w:t>
      </w:r>
      <w:r w:rsidRPr="00941652">
        <w:rPr>
          <w:b/>
          <w:bCs/>
          <w:bdr w:val="nil"/>
          <w:lang w:val="es-ES"/>
        </w:rPr>
        <w:t xml:space="preserve"> AUMENTAR LAS TARIFAS ELÉCTRICAS EN 2017 PARA CONTRATOS DE </w:t>
      </w:r>
      <w:r w:rsidR="003618A7" w:rsidRPr="00941652">
        <w:rPr>
          <w:b/>
          <w:bCs/>
          <w:bdr w:val="nil"/>
          <w:lang w:val="es-ES"/>
        </w:rPr>
        <w:t xml:space="preserve">NUEVOS </w:t>
      </w:r>
      <w:r w:rsidRPr="00941652">
        <w:rPr>
          <w:b/>
          <w:bCs/>
          <w:bdr w:val="nil"/>
          <w:lang w:val="es-ES"/>
        </w:rPr>
        <w:t xml:space="preserve">RECURSOS DE GENERACIÓN ELÉCTRICA (REQUISITOS DE CAPACIDAD LOCAL) </w:t>
      </w:r>
    </w:p>
    <w:p w14:paraId="2DD7EE5B" w14:textId="77777777" w:rsidR="00472FB8" w:rsidRPr="00941652" w:rsidRDefault="00941652" w:rsidP="00CC2E5E">
      <w:pPr>
        <w:jc w:val="center"/>
        <w:rPr>
          <w:b/>
          <w:lang w:val="es-ES"/>
        </w:rPr>
      </w:pPr>
      <w:r w:rsidRPr="00941652">
        <w:rPr>
          <w:b/>
          <w:bCs/>
          <w:bdr w:val="nil"/>
          <w:lang w:val="es-ES"/>
        </w:rPr>
        <w:t xml:space="preserve">SOLICITUD NÚM. A.17-04-017 </w:t>
      </w:r>
    </w:p>
    <w:p w14:paraId="4FDFD899" w14:textId="77777777" w:rsidR="00472FB8" w:rsidRPr="00941652" w:rsidRDefault="003F2308">
      <w:pPr>
        <w:jc w:val="center"/>
        <w:rPr>
          <w:b/>
          <w:lang w:val="es-ES"/>
        </w:rPr>
      </w:pPr>
    </w:p>
    <w:p w14:paraId="5985409E" w14:textId="77777777" w:rsidR="002874A0" w:rsidRPr="00941652" w:rsidRDefault="00941652" w:rsidP="003017A3">
      <w:pPr>
        <w:rPr>
          <w:lang w:val="es-ES"/>
        </w:rPr>
      </w:pPr>
      <w:r w:rsidRPr="00941652">
        <w:rPr>
          <w:bdr w:val="nil"/>
          <w:lang w:val="es-ES"/>
        </w:rPr>
        <w:t>El 19 de abril de 2017, San Diego Gas &amp; Electric Company (SDG&amp;E</w:t>
      </w:r>
      <w:r w:rsidRPr="00941652">
        <w:rPr>
          <w:bdr w:val="nil"/>
          <w:vertAlign w:val="superscript"/>
          <w:lang w:val="es-ES"/>
        </w:rPr>
        <w:t>®</w:t>
      </w:r>
      <w:r w:rsidRPr="00941652">
        <w:rPr>
          <w:bdr w:val="nil"/>
          <w:lang w:val="es-ES"/>
        </w:rPr>
        <w:t xml:space="preserve">) presentó una solicitud ante la Comisión de Servicios Públicos de California (CPUC) con el objeto de obtener la aprobación para aumentar las tarifas para seis contratos a largo plazo para nuevos recursos de generación eléctrica, entre los que se incluyen dos contratos de almacenamiento de energía propiedad de empresas de servicios públicos. SDG&amp;E está en busca de nuevos contratos a largo plazo para satisfacer necesidades de capacidad local en sus territorios de servicio eléctrico </w:t>
      </w:r>
      <w:r w:rsidR="003618A7" w:rsidRPr="00941652">
        <w:rPr>
          <w:bdr w:val="nil"/>
          <w:lang w:val="es-ES"/>
        </w:rPr>
        <w:t>como resultado</w:t>
      </w:r>
      <w:r w:rsidRPr="00941652">
        <w:rPr>
          <w:bdr w:val="nil"/>
          <w:lang w:val="es-ES"/>
        </w:rPr>
        <w:t xml:space="preserve"> del retiro de la Estación de Generación Nuclear de San Onofre (SONGS). Los contratos propuestos proporcionarían nuevos recursos eléctricos, entre los que se incluyen almacenamiento de electricidad (baterías) y respuesta a la demanda (</w:t>
      </w:r>
      <w:r w:rsidR="00820FFE" w:rsidRPr="00941652">
        <w:rPr>
          <w:bdr w:val="nil"/>
          <w:lang w:val="es-ES"/>
        </w:rPr>
        <w:t>al reducir</w:t>
      </w:r>
      <w:r w:rsidRPr="00941652">
        <w:rPr>
          <w:bdr w:val="nil"/>
          <w:lang w:val="es-ES"/>
        </w:rPr>
        <w:t xml:space="preserve"> el consumo de electricidad durante periodos de alta demanda o transfer</w:t>
      </w:r>
      <w:r w:rsidR="00820FFE" w:rsidRPr="00941652">
        <w:rPr>
          <w:bdr w:val="nil"/>
          <w:lang w:val="es-ES"/>
        </w:rPr>
        <w:t>ir</w:t>
      </w:r>
      <w:r w:rsidRPr="00941652">
        <w:rPr>
          <w:bdr w:val="nil"/>
          <w:lang w:val="es-ES"/>
        </w:rPr>
        <w:t xml:space="preserve"> el consumo eléctrico a otros periodos en que la demanda eléctrica es menor, lo que se traduce en</w:t>
      </w:r>
      <w:r w:rsidR="00BB1E39" w:rsidRPr="00941652">
        <w:rPr>
          <w:bdr w:val="nil"/>
          <w:lang w:val="es-ES"/>
        </w:rPr>
        <w:t xml:space="preserve"> ofrecer</w:t>
      </w:r>
      <w:r w:rsidRPr="00941652">
        <w:rPr>
          <w:bdr w:val="nil"/>
          <w:lang w:val="es-ES"/>
        </w:rPr>
        <w:t xml:space="preserve"> más electricidad al limitar</w:t>
      </w:r>
      <w:r w:rsidR="00820FFE" w:rsidRPr="00941652">
        <w:rPr>
          <w:bdr w:val="nil"/>
          <w:lang w:val="es-ES"/>
        </w:rPr>
        <w:t xml:space="preserve"> la electricidad </w:t>
      </w:r>
      <w:r w:rsidRPr="00941652">
        <w:rPr>
          <w:bdr w:val="nil"/>
          <w:lang w:val="es-ES"/>
        </w:rPr>
        <w:t xml:space="preserve">en horas </w:t>
      </w:r>
      <w:r w:rsidR="00820FFE" w:rsidRPr="00941652">
        <w:rPr>
          <w:bdr w:val="nil"/>
          <w:lang w:val="es-ES"/>
        </w:rPr>
        <w:t>reservadas</w:t>
      </w:r>
      <w:r w:rsidRPr="00941652">
        <w:rPr>
          <w:bdr w:val="nil"/>
          <w:lang w:val="es-ES"/>
        </w:rPr>
        <w:t>). Los clientes de electricidad en el territorio de servicio de SDG&amp;E recibirían también beneficios de confiabilidad de la red (infraestructura de la red eléctrica) durante la vigencia de los contratos.</w:t>
      </w:r>
    </w:p>
    <w:p w14:paraId="680CE1D6" w14:textId="77777777" w:rsidR="002874A0" w:rsidRPr="00941652" w:rsidRDefault="003F2308" w:rsidP="000952FA">
      <w:pPr>
        <w:rPr>
          <w:lang w:val="es-ES"/>
        </w:rPr>
      </w:pPr>
    </w:p>
    <w:p w14:paraId="5140B2EC" w14:textId="77777777" w:rsidR="0040149F" w:rsidRPr="00941652" w:rsidRDefault="00941652" w:rsidP="00AB479A">
      <w:pPr>
        <w:rPr>
          <w:lang w:val="es-ES"/>
        </w:rPr>
      </w:pPr>
      <w:r w:rsidRPr="00941652">
        <w:rPr>
          <w:bdr w:val="nil"/>
          <w:lang w:val="es-ES"/>
        </w:rPr>
        <w:t xml:space="preserve">La típica factura de gas y electricidad de SDG&amp;E incluye cargos por el costo de la electricidad y el costo por distribuirla (transmisión y distribución). En esta solicitud se pide la recuperación de los costos de todos los clientes dentro del territorio de servicio de SDG&amp;E, incluso de aquellos clientes que compran electricidad a otro proveedor pero que pagan a SDG&amp;E por distribuir la electricidad a sus hogares. Estos costos son compartidos por todos los clientes porque estos contratos proporcionan beneficios de confiabilidad a todos los que estén dentro del territorio de servicio. El costo total de los seis contratos a lo largo de sus respectivas vigencias contractuales es de aproximadamente $235 millones. La cantidad de recuperación en tarifas proporcionada excluye el costo de la energía para las baterías de almacenamiento eléctrico. </w:t>
      </w:r>
      <w:r w:rsidRPr="00941652">
        <w:rPr>
          <w:b/>
          <w:bCs/>
          <w:bdr w:val="nil"/>
          <w:lang w:val="es-ES"/>
        </w:rPr>
        <w:t>Por favor tenga presente que el costo total se basa en pronósticos y es probable que cambie antes de incluir el costo real en las tarifas eléctricas.</w:t>
      </w:r>
    </w:p>
    <w:p w14:paraId="3A1CDBF4" w14:textId="77777777" w:rsidR="007A32FF" w:rsidRPr="00941652" w:rsidRDefault="003F2308" w:rsidP="00A40F28">
      <w:pPr>
        <w:jc w:val="both"/>
        <w:rPr>
          <w:lang w:val="es-ES"/>
        </w:rPr>
      </w:pPr>
    </w:p>
    <w:p w14:paraId="002EFFC7" w14:textId="77777777" w:rsidR="00627F37" w:rsidRPr="00941652" w:rsidRDefault="00941652" w:rsidP="0018116F">
      <w:pPr>
        <w:pStyle w:val="BodyText"/>
        <w:rPr>
          <w:szCs w:val="24"/>
          <w:lang w:val="es-ES"/>
        </w:rPr>
      </w:pPr>
      <w:r w:rsidRPr="00941652">
        <w:rPr>
          <w:szCs w:val="24"/>
          <w:bdr w:val="nil"/>
          <w:lang w:val="es-ES"/>
        </w:rPr>
        <w:t xml:space="preserve">El cuadro mostrado a continuación ilustra el aumento en las tarifas que resultarían de la aprobación de la CPUC de esta solicitud, en comparación con los niveles tarifarios actuales. </w:t>
      </w:r>
    </w:p>
    <w:p w14:paraId="26172A7E" w14:textId="77777777" w:rsidR="00627F37" w:rsidRPr="00941652" w:rsidRDefault="003F2308" w:rsidP="0018116F">
      <w:pPr>
        <w:pStyle w:val="BodyText"/>
        <w:rPr>
          <w:szCs w:val="24"/>
          <w:lang w:val="es-ES"/>
        </w:rPr>
      </w:pPr>
    </w:p>
    <w:p w14:paraId="61C5FC43" w14:textId="77777777" w:rsidR="00334609" w:rsidRPr="00941652" w:rsidRDefault="00941652" w:rsidP="0018116F">
      <w:pPr>
        <w:pStyle w:val="BodyText"/>
        <w:rPr>
          <w:b/>
          <w:lang w:val="es-ES"/>
        </w:rPr>
      </w:pPr>
      <w:r w:rsidRPr="00941652">
        <w:rPr>
          <w:b/>
          <w:bCs/>
          <w:szCs w:val="24"/>
          <w:bdr w:val="nil"/>
          <w:lang w:val="es-ES"/>
        </w:rPr>
        <w:t>EFECTO ILUSTRATIVO EN TARIFAS Y FACTURAS ELÉCTRICAS</w:t>
      </w:r>
    </w:p>
    <w:p w14:paraId="036B926D" w14:textId="77777777" w:rsidR="00F33AB0" w:rsidRPr="00941652" w:rsidRDefault="003F2308" w:rsidP="0018116F">
      <w:pPr>
        <w:pStyle w:val="BodyText"/>
        <w:rPr>
          <w:b/>
          <w:lang w:val="es-ES"/>
        </w:rPr>
      </w:pPr>
    </w:p>
    <w:p w14:paraId="50DD0B48" w14:textId="77777777" w:rsidR="006E18C8" w:rsidRPr="00941652" w:rsidRDefault="00941652" w:rsidP="0018116F">
      <w:pPr>
        <w:pStyle w:val="BodyText"/>
        <w:rPr>
          <w:szCs w:val="24"/>
          <w:lang w:val="es-ES"/>
        </w:rPr>
      </w:pPr>
      <w:r w:rsidRPr="00941652">
        <w:rPr>
          <w:szCs w:val="24"/>
          <w:bdr w:val="nil"/>
          <w:lang w:val="es-ES"/>
        </w:rPr>
        <w:t xml:space="preserve">Si la CPUC aprueba la solicitud de SDG&amp;E, un cliente residencial típico que no participe en CARE (CARE es un programa de asistencia para personas de bajos ingresos), viva en la zona climática del interior y consuma un promedio de 500 kilovatios-hora al mes podría ver un incremento en la factura mensual de verano de 0.5%, o $0.59, </w:t>
      </w:r>
      <w:r w:rsidR="00593CD0" w:rsidRPr="00941652">
        <w:rPr>
          <w:szCs w:val="24"/>
          <w:bdr w:val="nil"/>
          <w:lang w:val="es-ES"/>
        </w:rPr>
        <w:t>de</w:t>
      </w:r>
      <w:r w:rsidRPr="00941652">
        <w:rPr>
          <w:szCs w:val="24"/>
          <w:bdr w:val="nil"/>
          <w:lang w:val="es-ES"/>
        </w:rPr>
        <w:t xml:space="preserve"> una factura mensual actual de $125.36 a $125.95. Los efectos ilustrativos en la tarifa y la factura presumen que todos los contratos están en vigor y presentan una comparación con las tarifas actuales (3/1/2017).</w:t>
      </w:r>
    </w:p>
    <w:p w14:paraId="4B069F06" w14:textId="77777777" w:rsidR="0096745E" w:rsidRPr="00941652" w:rsidRDefault="00941652" w:rsidP="0018116F">
      <w:pPr>
        <w:pStyle w:val="BodyText"/>
        <w:rPr>
          <w:szCs w:val="24"/>
          <w:lang w:val="es-ES"/>
        </w:rPr>
      </w:pPr>
      <w:r w:rsidRPr="00941652">
        <w:rPr>
          <w:b/>
          <w:bCs/>
          <w:szCs w:val="24"/>
          <w:bdr w:val="nil"/>
          <w:lang w:val="es-ES"/>
        </w:rPr>
        <w:lastRenderedPageBreak/>
        <w:t>Los montos en dólares y los porcentajes mostrados a continuación son estimaciones y no necesariamente reflejan los cambios exactos que tal vez vea en su factura.</w:t>
      </w:r>
      <w:r w:rsidRPr="00941652">
        <w:rPr>
          <w:szCs w:val="24"/>
          <w:bdr w:val="nil"/>
          <w:lang w:val="es-ES"/>
        </w:rPr>
        <w:t xml:space="preserve"> Los cambios en las facturas individuales dependerán también de cuánta electricidad consuma cada cliente.</w:t>
      </w:r>
    </w:p>
    <w:p w14:paraId="580F8929" w14:textId="77777777" w:rsidR="0009275E" w:rsidRPr="00941652" w:rsidRDefault="003F2308" w:rsidP="0018116F">
      <w:pPr>
        <w:pStyle w:val="BodyText"/>
        <w:rPr>
          <w:szCs w:val="24"/>
          <w:lang w:val="es-ES"/>
        </w:rPr>
      </w:pPr>
    </w:p>
    <w:p w14:paraId="670DDDE2" w14:textId="77777777" w:rsidR="00DB2DA1" w:rsidRPr="00941652" w:rsidRDefault="003F2308" w:rsidP="0018116F">
      <w:pPr>
        <w:pStyle w:val="BodyText"/>
        <w:rPr>
          <w:szCs w:val="24"/>
          <w:lang w:val="es-ES"/>
        </w:rPr>
      </w:pPr>
    </w:p>
    <w:p w14:paraId="1A0607D6" w14:textId="77777777" w:rsidR="00A23FBC" w:rsidRPr="00941652" w:rsidRDefault="00941652" w:rsidP="00D265CA">
      <w:pPr>
        <w:pStyle w:val="BodyText"/>
        <w:keepNext/>
        <w:jc w:val="center"/>
        <w:rPr>
          <w:b/>
          <w:szCs w:val="24"/>
          <w:lang w:val="es-ES"/>
        </w:rPr>
      </w:pPr>
      <w:r w:rsidRPr="00941652">
        <w:rPr>
          <w:b/>
          <w:bCs/>
          <w:szCs w:val="24"/>
          <w:bdr w:val="nil"/>
          <w:lang w:val="es-ES"/>
        </w:rPr>
        <w:t>AUMENTO ILUSTRATIVO TOTAL EN LA TARIFA ELÉCTRICA DE SAN DIEGO GAS &amp; ELECTRIC COMPANY</w:t>
      </w:r>
    </w:p>
    <w:p w14:paraId="74676352" w14:textId="77777777" w:rsidR="004F103A" w:rsidRPr="00941652" w:rsidRDefault="003F2308" w:rsidP="007E3A3A">
      <w:pPr>
        <w:pStyle w:val="BodyText"/>
        <w:keepNext/>
        <w:jc w:val="center"/>
        <w:rPr>
          <w:b/>
          <w:lang w:val="es-ES"/>
        </w:rPr>
      </w:pPr>
    </w:p>
    <w:tbl>
      <w:tblPr>
        <w:tblW w:w="9765" w:type="dxa"/>
        <w:jc w:val="center"/>
        <w:tblLayout w:type="fixed"/>
        <w:tblLook w:val="0000" w:firstRow="0" w:lastRow="0" w:firstColumn="0" w:lastColumn="0" w:noHBand="0" w:noVBand="0"/>
      </w:tblPr>
      <w:tblGrid>
        <w:gridCol w:w="2059"/>
        <w:gridCol w:w="270"/>
        <w:gridCol w:w="1634"/>
        <w:gridCol w:w="236"/>
        <w:gridCol w:w="1943"/>
        <w:gridCol w:w="236"/>
        <w:gridCol w:w="236"/>
        <w:gridCol w:w="1188"/>
        <w:gridCol w:w="236"/>
        <w:gridCol w:w="1470"/>
        <w:gridCol w:w="257"/>
      </w:tblGrid>
      <w:tr w:rsidR="00B74E1D" w:rsidRPr="00941652" w14:paraId="48A5B874" w14:textId="77777777" w:rsidTr="004F29DA">
        <w:trPr>
          <w:trHeight w:val="324"/>
          <w:jc w:val="center"/>
        </w:trPr>
        <w:tc>
          <w:tcPr>
            <w:tcW w:w="2059" w:type="dxa"/>
            <w:tcBorders>
              <w:top w:val="nil"/>
              <w:left w:val="nil"/>
              <w:bottom w:val="single" w:sz="4" w:space="0" w:color="auto"/>
              <w:right w:val="nil"/>
            </w:tcBorders>
            <w:shd w:val="clear" w:color="auto" w:fill="auto"/>
            <w:noWrap/>
            <w:vAlign w:val="center"/>
          </w:tcPr>
          <w:p w14:paraId="3D5A450A" w14:textId="77777777" w:rsidR="00A23FBC" w:rsidRPr="00941652" w:rsidRDefault="003F2308" w:rsidP="007E3A3A">
            <w:pPr>
              <w:keepNext/>
              <w:rPr>
                <w:b/>
                <w:bCs/>
                <w:sz w:val="22"/>
                <w:szCs w:val="22"/>
                <w:lang w:val="es-ES"/>
              </w:rPr>
            </w:pPr>
          </w:p>
          <w:p w14:paraId="4B175B09" w14:textId="77777777" w:rsidR="00D25660" w:rsidRPr="00941652" w:rsidRDefault="00941652" w:rsidP="007E3A3A">
            <w:pPr>
              <w:keepNext/>
              <w:rPr>
                <w:b/>
                <w:bCs/>
                <w:sz w:val="22"/>
                <w:szCs w:val="22"/>
                <w:highlight w:val="yellow"/>
                <w:lang w:val="es-ES"/>
              </w:rPr>
            </w:pPr>
            <w:r w:rsidRPr="00941652">
              <w:rPr>
                <w:b/>
                <w:bCs/>
                <w:sz w:val="22"/>
                <w:szCs w:val="22"/>
                <w:bdr w:val="nil"/>
                <w:lang w:val="es-ES"/>
              </w:rPr>
              <w:t>Clase de cliente</w:t>
            </w:r>
          </w:p>
        </w:tc>
        <w:tc>
          <w:tcPr>
            <w:tcW w:w="270" w:type="dxa"/>
            <w:tcBorders>
              <w:top w:val="nil"/>
              <w:left w:val="nil"/>
              <w:bottom w:val="nil"/>
              <w:right w:val="nil"/>
            </w:tcBorders>
            <w:shd w:val="clear" w:color="auto" w:fill="auto"/>
            <w:noWrap/>
          </w:tcPr>
          <w:p w14:paraId="5A0C5045" w14:textId="77777777" w:rsidR="00D25660" w:rsidRPr="00941652" w:rsidRDefault="003F2308" w:rsidP="007E3A3A">
            <w:pPr>
              <w:keepNext/>
              <w:rPr>
                <w:sz w:val="22"/>
                <w:szCs w:val="22"/>
                <w:highlight w:val="yellow"/>
                <w:lang w:val="es-ES"/>
              </w:rPr>
            </w:pPr>
          </w:p>
        </w:tc>
        <w:tc>
          <w:tcPr>
            <w:tcW w:w="1634" w:type="dxa"/>
            <w:tcBorders>
              <w:top w:val="nil"/>
              <w:left w:val="nil"/>
              <w:bottom w:val="single" w:sz="4" w:space="0" w:color="auto"/>
              <w:right w:val="nil"/>
            </w:tcBorders>
            <w:shd w:val="clear" w:color="auto" w:fill="auto"/>
            <w:noWrap/>
            <w:vAlign w:val="center"/>
          </w:tcPr>
          <w:p w14:paraId="25704567" w14:textId="77777777" w:rsidR="00D25660" w:rsidRPr="00941652" w:rsidRDefault="004C143A" w:rsidP="004C143A">
            <w:pPr>
              <w:keepNext/>
              <w:jc w:val="center"/>
              <w:rPr>
                <w:sz w:val="22"/>
                <w:szCs w:val="22"/>
                <w:lang w:val="es-ES"/>
              </w:rPr>
            </w:pPr>
            <w:r w:rsidRPr="00941652">
              <w:rPr>
                <w:b/>
                <w:bCs/>
                <w:sz w:val="22"/>
                <w:szCs w:val="22"/>
                <w:bdr w:val="nil"/>
                <w:lang w:val="es-ES"/>
              </w:rPr>
              <w:t>Actuales t</w:t>
            </w:r>
            <w:r w:rsidR="00941652" w:rsidRPr="00941652">
              <w:rPr>
                <w:b/>
                <w:bCs/>
                <w:sz w:val="22"/>
                <w:szCs w:val="22"/>
                <w:bdr w:val="nil"/>
                <w:lang w:val="es-ES"/>
              </w:rPr>
              <w:t xml:space="preserve">arifas promedio por clase </w:t>
            </w:r>
            <w:r w:rsidRPr="00941652">
              <w:rPr>
                <w:b/>
                <w:bCs/>
                <w:sz w:val="22"/>
                <w:szCs w:val="22"/>
                <w:bdr w:val="nil"/>
                <w:lang w:val="es-ES"/>
              </w:rPr>
              <w:br/>
            </w:r>
            <w:r w:rsidR="00941652" w:rsidRPr="00941652">
              <w:rPr>
                <w:b/>
                <w:bCs/>
                <w:sz w:val="22"/>
                <w:szCs w:val="22"/>
                <w:bdr w:val="nil"/>
                <w:lang w:val="es-ES"/>
              </w:rPr>
              <w:t>03/01/17</w:t>
            </w:r>
            <w:r w:rsidR="00941652" w:rsidRPr="00941652">
              <w:rPr>
                <w:b/>
                <w:bCs/>
                <w:sz w:val="22"/>
                <w:szCs w:val="22"/>
                <w:bdr w:val="nil"/>
                <w:vertAlign w:val="superscript"/>
                <w:lang w:val="es-ES"/>
              </w:rPr>
              <w:t>1</w:t>
            </w:r>
            <w:r w:rsidR="00941652" w:rsidRPr="00941652">
              <w:rPr>
                <w:b/>
                <w:bCs/>
                <w:sz w:val="22"/>
                <w:szCs w:val="22"/>
                <w:bdr w:val="nil"/>
                <w:lang w:val="es-ES"/>
              </w:rPr>
              <w:t xml:space="preserve"> (¢/kWh)</w:t>
            </w:r>
          </w:p>
        </w:tc>
        <w:tc>
          <w:tcPr>
            <w:tcW w:w="236" w:type="dxa"/>
            <w:tcBorders>
              <w:top w:val="nil"/>
              <w:left w:val="nil"/>
              <w:bottom w:val="nil"/>
              <w:right w:val="nil"/>
            </w:tcBorders>
            <w:shd w:val="clear" w:color="auto" w:fill="auto"/>
            <w:noWrap/>
            <w:vAlign w:val="center"/>
          </w:tcPr>
          <w:p w14:paraId="5F234E31" w14:textId="77777777" w:rsidR="00D25660" w:rsidRPr="00941652" w:rsidRDefault="003F2308" w:rsidP="007E3A3A">
            <w:pPr>
              <w:keepNext/>
              <w:jc w:val="center"/>
              <w:rPr>
                <w:b/>
                <w:bCs/>
                <w:sz w:val="22"/>
                <w:szCs w:val="22"/>
                <w:lang w:val="es-ES"/>
              </w:rPr>
            </w:pPr>
          </w:p>
        </w:tc>
        <w:tc>
          <w:tcPr>
            <w:tcW w:w="1943" w:type="dxa"/>
            <w:tcBorders>
              <w:top w:val="nil"/>
              <w:left w:val="nil"/>
              <w:bottom w:val="single" w:sz="4" w:space="0" w:color="auto"/>
              <w:right w:val="nil"/>
            </w:tcBorders>
            <w:vAlign w:val="center"/>
          </w:tcPr>
          <w:p w14:paraId="687B9C78" w14:textId="77777777" w:rsidR="00D25660" w:rsidRPr="00941652" w:rsidRDefault="00941652" w:rsidP="00593CD0">
            <w:pPr>
              <w:keepNext/>
              <w:jc w:val="center"/>
              <w:rPr>
                <w:b/>
                <w:bCs/>
                <w:sz w:val="22"/>
                <w:szCs w:val="22"/>
                <w:lang w:val="es-ES"/>
              </w:rPr>
            </w:pPr>
            <w:r w:rsidRPr="00941652">
              <w:rPr>
                <w:b/>
                <w:bCs/>
                <w:sz w:val="22"/>
                <w:szCs w:val="22"/>
                <w:bdr w:val="nil"/>
                <w:lang w:val="es-ES"/>
              </w:rPr>
              <w:t xml:space="preserve">Tarifas promedio por clase que reflejan el aumento propuesto en los ingresos por </w:t>
            </w:r>
            <w:r w:rsidR="00593CD0" w:rsidRPr="00941652">
              <w:rPr>
                <w:b/>
                <w:bCs/>
                <w:sz w:val="22"/>
                <w:szCs w:val="22"/>
                <w:bdr w:val="nil"/>
                <w:lang w:val="es-ES"/>
              </w:rPr>
              <w:t>s</w:t>
            </w:r>
            <w:r w:rsidRPr="00941652">
              <w:rPr>
                <w:b/>
                <w:bCs/>
                <w:sz w:val="22"/>
                <w:szCs w:val="22"/>
                <w:bdr w:val="nil"/>
                <w:lang w:val="es-ES"/>
              </w:rPr>
              <w:t xml:space="preserve">olicitud </w:t>
            </w:r>
            <w:r w:rsidR="00593CD0" w:rsidRPr="00941652">
              <w:rPr>
                <w:b/>
                <w:bCs/>
                <w:sz w:val="22"/>
                <w:szCs w:val="22"/>
                <w:bdr w:val="nil"/>
                <w:lang w:val="es-ES"/>
              </w:rPr>
              <w:t>para 2022</w:t>
            </w:r>
            <w:r w:rsidR="00593CD0" w:rsidRPr="00941652">
              <w:rPr>
                <w:b/>
                <w:bCs/>
                <w:sz w:val="22"/>
                <w:szCs w:val="22"/>
                <w:bdr w:val="nil"/>
                <w:lang w:val="es-ES"/>
              </w:rPr>
              <w:br/>
              <w:t xml:space="preserve"> </w:t>
            </w:r>
            <w:r w:rsidRPr="00941652">
              <w:rPr>
                <w:b/>
                <w:bCs/>
                <w:sz w:val="22"/>
                <w:szCs w:val="22"/>
                <w:bdr w:val="nil"/>
                <w:lang w:val="es-ES"/>
              </w:rPr>
              <w:t xml:space="preserve">(¢/kWh) </w:t>
            </w:r>
          </w:p>
        </w:tc>
        <w:tc>
          <w:tcPr>
            <w:tcW w:w="236" w:type="dxa"/>
            <w:tcBorders>
              <w:top w:val="nil"/>
              <w:left w:val="nil"/>
              <w:right w:val="nil"/>
            </w:tcBorders>
            <w:vAlign w:val="center"/>
          </w:tcPr>
          <w:p w14:paraId="692E8C4C" w14:textId="77777777" w:rsidR="00D25660" w:rsidRPr="00941652" w:rsidRDefault="003F2308" w:rsidP="007E3A3A">
            <w:pPr>
              <w:keepNext/>
              <w:jc w:val="center"/>
              <w:rPr>
                <w:b/>
                <w:bCs/>
                <w:sz w:val="22"/>
                <w:szCs w:val="22"/>
                <w:lang w:val="es-ES"/>
              </w:rPr>
            </w:pPr>
          </w:p>
        </w:tc>
        <w:tc>
          <w:tcPr>
            <w:tcW w:w="236" w:type="dxa"/>
            <w:tcBorders>
              <w:top w:val="nil"/>
              <w:left w:val="nil"/>
              <w:bottom w:val="nil"/>
              <w:right w:val="nil"/>
            </w:tcBorders>
            <w:shd w:val="clear" w:color="auto" w:fill="auto"/>
            <w:noWrap/>
            <w:vAlign w:val="center"/>
          </w:tcPr>
          <w:p w14:paraId="39C91E3F" w14:textId="77777777" w:rsidR="00D25660" w:rsidRPr="00941652" w:rsidRDefault="003F2308" w:rsidP="007E3A3A">
            <w:pPr>
              <w:keepNext/>
              <w:jc w:val="center"/>
              <w:rPr>
                <w:sz w:val="22"/>
                <w:szCs w:val="22"/>
                <w:lang w:val="es-ES"/>
              </w:rPr>
            </w:pPr>
          </w:p>
        </w:tc>
        <w:tc>
          <w:tcPr>
            <w:tcW w:w="1188" w:type="dxa"/>
            <w:tcBorders>
              <w:top w:val="nil"/>
              <w:left w:val="nil"/>
              <w:bottom w:val="single" w:sz="4" w:space="0" w:color="auto"/>
              <w:right w:val="nil"/>
            </w:tcBorders>
            <w:shd w:val="clear" w:color="auto" w:fill="auto"/>
            <w:noWrap/>
            <w:vAlign w:val="center"/>
          </w:tcPr>
          <w:p w14:paraId="739A1A2B" w14:textId="77777777" w:rsidR="00D25660" w:rsidRPr="00941652" w:rsidRDefault="00941652" w:rsidP="00FA3666">
            <w:pPr>
              <w:keepNext/>
              <w:jc w:val="center"/>
              <w:rPr>
                <w:b/>
                <w:bCs/>
                <w:sz w:val="22"/>
                <w:szCs w:val="22"/>
                <w:lang w:val="es-ES"/>
              </w:rPr>
            </w:pPr>
            <w:r w:rsidRPr="00941652">
              <w:rPr>
                <w:b/>
                <w:bCs/>
                <w:sz w:val="22"/>
                <w:szCs w:val="22"/>
                <w:bdr w:val="nil"/>
                <w:lang w:val="es-ES"/>
              </w:rPr>
              <w:t>Aumento total en la tarifa (¢/kWh)</w:t>
            </w:r>
          </w:p>
        </w:tc>
        <w:tc>
          <w:tcPr>
            <w:tcW w:w="236" w:type="dxa"/>
            <w:tcBorders>
              <w:top w:val="nil"/>
              <w:left w:val="nil"/>
              <w:bottom w:val="nil"/>
              <w:right w:val="nil"/>
            </w:tcBorders>
            <w:shd w:val="clear" w:color="auto" w:fill="auto"/>
            <w:noWrap/>
            <w:vAlign w:val="center"/>
          </w:tcPr>
          <w:p w14:paraId="79EAE82B" w14:textId="77777777" w:rsidR="00D25660" w:rsidRPr="00941652" w:rsidRDefault="003F2308" w:rsidP="007E3A3A">
            <w:pPr>
              <w:keepNext/>
              <w:jc w:val="center"/>
              <w:rPr>
                <w:sz w:val="22"/>
                <w:szCs w:val="22"/>
                <w:lang w:val="es-ES"/>
              </w:rPr>
            </w:pPr>
          </w:p>
        </w:tc>
        <w:tc>
          <w:tcPr>
            <w:tcW w:w="1470" w:type="dxa"/>
            <w:tcBorders>
              <w:top w:val="nil"/>
              <w:left w:val="nil"/>
              <w:bottom w:val="single" w:sz="4" w:space="0" w:color="auto"/>
              <w:right w:val="nil"/>
            </w:tcBorders>
            <w:vAlign w:val="center"/>
          </w:tcPr>
          <w:p w14:paraId="43D99FE6" w14:textId="77777777" w:rsidR="00A23FBC" w:rsidRPr="00941652" w:rsidRDefault="00941652" w:rsidP="007E3A3A">
            <w:pPr>
              <w:keepNext/>
              <w:jc w:val="center"/>
              <w:rPr>
                <w:b/>
                <w:bCs/>
                <w:sz w:val="22"/>
                <w:szCs w:val="22"/>
                <w:lang w:val="es-ES"/>
              </w:rPr>
            </w:pPr>
            <w:r w:rsidRPr="00941652">
              <w:rPr>
                <w:b/>
                <w:bCs/>
                <w:sz w:val="22"/>
                <w:szCs w:val="22"/>
                <w:bdr w:val="nil"/>
                <w:lang w:val="es-ES"/>
              </w:rPr>
              <w:t xml:space="preserve">Aumento porcentual en la tarifa </w:t>
            </w:r>
          </w:p>
          <w:p w14:paraId="0ED81226" w14:textId="77777777" w:rsidR="00D25660" w:rsidRPr="00941652" w:rsidRDefault="00941652" w:rsidP="007E3A3A">
            <w:pPr>
              <w:keepNext/>
              <w:jc w:val="center"/>
              <w:rPr>
                <w:b/>
                <w:bCs/>
                <w:sz w:val="22"/>
                <w:szCs w:val="22"/>
                <w:lang w:val="es-ES"/>
              </w:rPr>
            </w:pPr>
            <w:r w:rsidRPr="00941652">
              <w:rPr>
                <w:b/>
                <w:bCs/>
                <w:sz w:val="22"/>
                <w:szCs w:val="22"/>
                <w:lang w:val="es-ES"/>
              </w:rPr>
              <w:t>(%)</w:t>
            </w:r>
          </w:p>
        </w:tc>
        <w:tc>
          <w:tcPr>
            <w:tcW w:w="257" w:type="dxa"/>
            <w:tcBorders>
              <w:top w:val="nil"/>
              <w:left w:val="nil"/>
              <w:right w:val="nil"/>
            </w:tcBorders>
          </w:tcPr>
          <w:p w14:paraId="123CFC3F" w14:textId="77777777" w:rsidR="00D25660" w:rsidRPr="00941652" w:rsidRDefault="003F2308" w:rsidP="007E3A3A">
            <w:pPr>
              <w:keepNext/>
              <w:jc w:val="center"/>
              <w:rPr>
                <w:b/>
                <w:bCs/>
                <w:sz w:val="22"/>
                <w:szCs w:val="22"/>
                <w:lang w:val="es-ES"/>
              </w:rPr>
            </w:pPr>
          </w:p>
        </w:tc>
      </w:tr>
      <w:tr w:rsidR="00B74E1D" w:rsidRPr="00941652" w14:paraId="72D2284D" w14:textId="77777777" w:rsidTr="001B5B8E">
        <w:trPr>
          <w:trHeight w:val="255"/>
          <w:jc w:val="center"/>
        </w:trPr>
        <w:tc>
          <w:tcPr>
            <w:tcW w:w="2059" w:type="dxa"/>
            <w:tcBorders>
              <w:top w:val="nil"/>
              <w:left w:val="nil"/>
              <w:bottom w:val="nil"/>
              <w:right w:val="nil"/>
            </w:tcBorders>
            <w:shd w:val="clear" w:color="auto" w:fill="auto"/>
            <w:noWrap/>
          </w:tcPr>
          <w:p w14:paraId="18A2237E" w14:textId="77777777" w:rsidR="006C65EF" w:rsidRPr="00941652" w:rsidRDefault="00941652" w:rsidP="006C65EF">
            <w:pPr>
              <w:rPr>
                <w:b/>
                <w:bCs/>
                <w:sz w:val="22"/>
                <w:szCs w:val="22"/>
                <w:lang w:val="es-ES"/>
              </w:rPr>
            </w:pPr>
            <w:r w:rsidRPr="00941652">
              <w:rPr>
                <w:b/>
                <w:bCs/>
                <w:sz w:val="22"/>
                <w:szCs w:val="22"/>
                <w:bdr w:val="nil"/>
                <w:lang w:val="es-ES"/>
              </w:rPr>
              <w:t>Residencial</w:t>
            </w:r>
          </w:p>
        </w:tc>
        <w:tc>
          <w:tcPr>
            <w:tcW w:w="270" w:type="dxa"/>
            <w:tcBorders>
              <w:top w:val="nil"/>
              <w:left w:val="nil"/>
              <w:bottom w:val="nil"/>
              <w:right w:val="nil"/>
            </w:tcBorders>
            <w:shd w:val="clear" w:color="auto" w:fill="auto"/>
            <w:noWrap/>
          </w:tcPr>
          <w:p w14:paraId="1F385B16" w14:textId="77777777" w:rsidR="006C65EF" w:rsidRPr="00941652" w:rsidRDefault="003F2308" w:rsidP="006C65EF">
            <w:pPr>
              <w:rPr>
                <w:sz w:val="22"/>
                <w:szCs w:val="22"/>
                <w:highlight w:val="yellow"/>
                <w:lang w:val="es-ES"/>
              </w:rPr>
            </w:pPr>
          </w:p>
        </w:tc>
        <w:tc>
          <w:tcPr>
            <w:tcW w:w="1634" w:type="dxa"/>
            <w:tcBorders>
              <w:top w:val="nil"/>
              <w:left w:val="nil"/>
              <w:bottom w:val="nil"/>
              <w:right w:val="nil"/>
            </w:tcBorders>
            <w:shd w:val="clear" w:color="auto" w:fill="auto"/>
            <w:noWrap/>
          </w:tcPr>
          <w:p w14:paraId="500B2B51" w14:textId="77777777" w:rsidR="006C65EF" w:rsidRPr="00941652" w:rsidRDefault="00941652" w:rsidP="006C65EF">
            <w:pPr>
              <w:jc w:val="center"/>
              <w:rPr>
                <w:sz w:val="22"/>
                <w:szCs w:val="22"/>
                <w:highlight w:val="yellow"/>
                <w:lang w:val="es-ES"/>
              </w:rPr>
            </w:pPr>
            <w:r w:rsidRPr="00941652">
              <w:rPr>
                <w:bdr w:val="nil"/>
                <w:lang w:val="es-ES"/>
              </w:rPr>
              <w:t xml:space="preserve">24.990 </w:t>
            </w:r>
          </w:p>
        </w:tc>
        <w:tc>
          <w:tcPr>
            <w:tcW w:w="236" w:type="dxa"/>
            <w:tcBorders>
              <w:top w:val="nil"/>
              <w:left w:val="nil"/>
              <w:bottom w:val="nil"/>
              <w:right w:val="nil"/>
            </w:tcBorders>
            <w:shd w:val="clear" w:color="auto" w:fill="auto"/>
            <w:noWrap/>
          </w:tcPr>
          <w:p w14:paraId="57899179" w14:textId="77777777" w:rsidR="006C65EF" w:rsidRPr="00941652" w:rsidRDefault="003F2308" w:rsidP="006C65EF">
            <w:pPr>
              <w:rPr>
                <w:sz w:val="22"/>
                <w:szCs w:val="22"/>
                <w:highlight w:val="yellow"/>
                <w:lang w:val="es-ES"/>
              </w:rPr>
            </w:pPr>
          </w:p>
        </w:tc>
        <w:tc>
          <w:tcPr>
            <w:tcW w:w="1943" w:type="dxa"/>
            <w:tcBorders>
              <w:top w:val="nil"/>
              <w:left w:val="nil"/>
              <w:bottom w:val="nil"/>
              <w:right w:val="nil"/>
            </w:tcBorders>
          </w:tcPr>
          <w:p w14:paraId="539EC0FF" w14:textId="77777777" w:rsidR="006C65EF" w:rsidRPr="00941652" w:rsidRDefault="00941652" w:rsidP="006C65EF">
            <w:pPr>
              <w:jc w:val="center"/>
              <w:rPr>
                <w:sz w:val="22"/>
                <w:szCs w:val="22"/>
                <w:highlight w:val="yellow"/>
                <w:lang w:val="es-ES"/>
              </w:rPr>
            </w:pPr>
            <w:r w:rsidRPr="00941652">
              <w:rPr>
                <w:bdr w:val="nil"/>
                <w:lang w:val="es-ES"/>
              </w:rPr>
              <w:t xml:space="preserve">25.125 </w:t>
            </w:r>
          </w:p>
        </w:tc>
        <w:tc>
          <w:tcPr>
            <w:tcW w:w="236" w:type="dxa"/>
            <w:tcBorders>
              <w:left w:val="nil"/>
              <w:bottom w:val="nil"/>
              <w:right w:val="nil"/>
            </w:tcBorders>
          </w:tcPr>
          <w:p w14:paraId="0C5EE203" w14:textId="77777777" w:rsidR="006C65EF" w:rsidRPr="00941652" w:rsidRDefault="003F2308" w:rsidP="006C65EF">
            <w:pPr>
              <w:jc w:val="center"/>
              <w:rPr>
                <w:sz w:val="22"/>
                <w:szCs w:val="22"/>
                <w:highlight w:val="yellow"/>
                <w:lang w:val="es-ES"/>
              </w:rPr>
            </w:pPr>
          </w:p>
        </w:tc>
        <w:tc>
          <w:tcPr>
            <w:tcW w:w="236" w:type="dxa"/>
            <w:tcBorders>
              <w:top w:val="nil"/>
              <w:left w:val="nil"/>
              <w:bottom w:val="nil"/>
              <w:right w:val="nil"/>
            </w:tcBorders>
            <w:shd w:val="clear" w:color="auto" w:fill="auto"/>
            <w:noWrap/>
          </w:tcPr>
          <w:p w14:paraId="2F114BBB" w14:textId="77777777" w:rsidR="006C65EF" w:rsidRPr="00941652" w:rsidRDefault="003F2308" w:rsidP="006C65EF">
            <w:pPr>
              <w:rPr>
                <w:sz w:val="22"/>
                <w:szCs w:val="22"/>
                <w:highlight w:val="yellow"/>
                <w:lang w:val="es-ES"/>
              </w:rPr>
            </w:pPr>
          </w:p>
        </w:tc>
        <w:tc>
          <w:tcPr>
            <w:tcW w:w="1188" w:type="dxa"/>
            <w:tcBorders>
              <w:top w:val="nil"/>
              <w:left w:val="nil"/>
              <w:bottom w:val="nil"/>
              <w:right w:val="nil"/>
            </w:tcBorders>
            <w:shd w:val="clear" w:color="auto" w:fill="auto"/>
            <w:noWrap/>
          </w:tcPr>
          <w:p w14:paraId="45931914" w14:textId="77777777" w:rsidR="006C65EF" w:rsidRPr="00941652" w:rsidRDefault="00941652" w:rsidP="006C65EF">
            <w:pPr>
              <w:jc w:val="center"/>
              <w:rPr>
                <w:sz w:val="22"/>
                <w:szCs w:val="22"/>
                <w:highlight w:val="yellow"/>
                <w:lang w:val="es-ES"/>
              </w:rPr>
            </w:pPr>
            <w:r w:rsidRPr="00941652">
              <w:rPr>
                <w:bdr w:val="nil"/>
                <w:lang w:val="es-ES"/>
              </w:rPr>
              <w:t xml:space="preserve">0.135 </w:t>
            </w:r>
          </w:p>
        </w:tc>
        <w:tc>
          <w:tcPr>
            <w:tcW w:w="236" w:type="dxa"/>
            <w:tcBorders>
              <w:top w:val="nil"/>
              <w:left w:val="nil"/>
              <w:bottom w:val="nil"/>
              <w:right w:val="nil"/>
            </w:tcBorders>
            <w:shd w:val="clear" w:color="auto" w:fill="auto"/>
            <w:noWrap/>
          </w:tcPr>
          <w:p w14:paraId="3735ED6E" w14:textId="77777777" w:rsidR="006C65EF" w:rsidRPr="00941652" w:rsidRDefault="003F2308" w:rsidP="006C65EF">
            <w:pPr>
              <w:jc w:val="center"/>
              <w:rPr>
                <w:sz w:val="22"/>
                <w:szCs w:val="22"/>
                <w:highlight w:val="yellow"/>
                <w:lang w:val="es-ES"/>
              </w:rPr>
            </w:pPr>
          </w:p>
        </w:tc>
        <w:tc>
          <w:tcPr>
            <w:tcW w:w="1470" w:type="dxa"/>
            <w:tcBorders>
              <w:top w:val="nil"/>
              <w:left w:val="nil"/>
              <w:bottom w:val="nil"/>
              <w:right w:val="nil"/>
            </w:tcBorders>
          </w:tcPr>
          <w:p w14:paraId="2AE274A5" w14:textId="77777777" w:rsidR="006C65EF" w:rsidRPr="00941652" w:rsidRDefault="00941652" w:rsidP="006C65EF">
            <w:pPr>
              <w:jc w:val="center"/>
              <w:rPr>
                <w:sz w:val="22"/>
                <w:szCs w:val="22"/>
                <w:highlight w:val="yellow"/>
                <w:lang w:val="es-ES"/>
              </w:rPr>
            </w:pPr>
            <w:r w:rsidRPr="00941652">
              <w:rPr>
                <w:bdr w:val="nil"/>
                <w:lang w:val="es-ES"/>
              </w:rPr>
              <w:t>0.5%</w:t>
            </w:r>
          </w:p>
        </w:tc>
        <w:tc>
          <w:tcPr>
            <w:tcW w:w="257" w:type="dxa"/>
            <w:tcBorders>
              <w:left w:val="nil"/>
              <w:bottom w:val="nil"/>
              <w:right w:val="nil"/>
            </w:tcBorders>
          </w:tcPr>
          <w:p w14:paraId="4CA1B60E" w14:textId="77777777" w:rsidR="006C65EF" w:rsidRPr="00941652" w:rsidRDefault="003F2308" w:rsidP="006C65EF">
            <w:pPr>
              <w:jc w:val="center"/>
              <w:rPr>
                <w:sz w:val="22"/>
                <w:szCs w:val="22"/>
                <w:lang w:val="es-ES"/>
              </w:rPr>
            </w:pPr>
          </w:p>
        </w:tc>
      </w:tr>
      <w:tr w:rsidR="00B74E1D" w:rsidRPr="00941652" w14:paraId="03AE4FDC" w14:textId="77777777" w:rsidTr="001B5B8E">
        <w:trPr>
          <w:trHeight w:val="255"/>
          <w:jc w:val="center"/>
        </w:trPr>
        <w:tc>
          <w:tcPr>
            <w:tcW w:w="2059" w:type="dxa"/>
            <w:tcBorders>
              <w:top w:val="nil"/>
              <w:left w:val="nil"/>
              <w:bottom w:val="nil"/>
              <w:right w:val="nil"/>
            </w:tcBorders>
            <w:shd w:val="clear" w:color="auto" w:fill="auto"/>
            <w:noWrap/>
          </w:tcPr>
          <w:p w14:paraId="0360FD6D" w14:textId="77777777" w:rsidR="006C65EF" w:rsidRPr="00941652" w:rsidRDefault="00941652" w:rsidP="006C65EF">
            <w:pPr>
              <w:rPr>
                <w:b/>
                <w:bCs/>
                <w:sz w:val="22"/>
                <w:szCs w:val="22"/>
                <w:lang w:val="es-ES"/>
              </w:rPr>
            </w:pPr>
            <w:r w:rsidRPr="00941652">
              <w:rPr>
                <w:b/>
                <w:bCs/>
                <w:sz w:val="22"/>
                <w:szCs w:val="22"/>
                <w:bdr w:val="nil"/>
                <w:lang w:val="es-ES"/>
              </w:rPr>
              <w:t xml:space="preserve">Comercial pequeño </w:t>
            </w:r>
          </w:p>
        </w:tc>
        <w:tc>
          <w:tcPr>
            <w:tcW w:w="270" w:type="dxa"/>
            <w:tcBorders>
              <w:top w:val="nil"/>
              <w:left w:val="nil"/>
              <w:bottom w:val="nil"/>
              <w:right w:val="nil"/>
            </w:tcBorders>
            <w:shd w:val="clear" w:color="auto" w:fill="auto"/>
            <w:noWrap/>
          </w:tcPr>
          <w:p w14:paraId="3AE6DDFE" w14:textId="77777777" w:rsidR="006C65EF" w:rsidRPr="00941652" w:rsidRDefault="003F2308" w:rsidP="006C65EF">
            <w:pPr>
              <w:rPr>
                <w:sz w:val="22"/>
                <w:szCs w:val="22"/>
                <w:highlight w:val="yellow"/>
                <w:lang w:val="es-ES"/>
              </w:rPr>
            </w:pPr>
          </w:p>
        </w:tc>
        <w:tc>
          <w:tcPr>
            <w:tcW w:w="1634" w:type="dxa"/>
            <w:tcBorders>
              <w:top w:val="nil"/>
              <w:left w:val="nil"/>
              <w:bottom w:val="nil"/>
              <w:right w:val="nil"/>
            </w:tcBorders>
            <w:shd w:val="clear" w:color="auto" w:fill="auto"/>
            <w:noWrap/>
          </w:tcPr>
          <w:p w14:paraId="45DF373C" w14:textId="77777777" w:rsidR="006C65EF" w:rsidRPr="00941652" w:rsidRDefault="00941652" w:rsidP="006C65EF">
            <w:pPr>
              <w:jc w:val="center"/>
              <w:rPr>
                <w:sz w:val="22"/>
                <w:szCs w:val="22"/>
                <w:highlight w:val="yellow"/>
                <w:lang w:val="es-ES"/>
              </w:rPr>
            </w:pPr>
            <w:r w:rsidRPr="00941652">
              <w:rPr>
                <w:bdr w:val="nil"/>
                <w:lang w:val="es-ES"/>
              </w:rPr>
              <w:t xml:space="preserve">23.928 </w:t>
            </w:r>
          </w:p>
        </w:tc>
        <w:tc>
          <w:tcPr>
            <w:tcW w:w="236" w:type="dxa"/>
            <w:tcBorders>
              <w:top w:val="nil"/>
              <w:left w:val="nil"/>
              <w:bottom w:val="nil"/>
              <w:right w:val="nil"/>
            </w:tcBorders>
            <w:shd w:val="clear" w:color="auto" w:fill="auto"/>
            <w:noWrap/>
          </w:tcPr>
          <w:p w14:paraId="1F56CA19" w14:textId="77777777" w:rsidR="006C65EF" w:rsidRPr="00941652" w:rsidRDefault="003F2308" w:rsidP="006C65EF">
            <w:pPr>
              <w:rPr>
                <w:sz w:val="22"/>
                <w:szCs w:val="22"/>
                <w:highlight w:val="yellow"/>
                <w:lang w:val="es-ES"/>
              </w:rPr>
            </w:pPr>
          </w:p>
        </w:tc>
        <w:tc>
          <w:tcPr>
            <w:tcW w:w="1943" w:type="dxa"/>
            <w:tcBorders>
              <w:top w:val="nil"/>
              <w:left w:val="nil"/>
              <w:bottom w:val="nil"/>
              <w:right w:val="nil"/>
            </w:tcBorders>
          </w:tcPr>
          <w:p w14:paraId="5F93D7A1" w14:textId="77777777" w:rsidR="006C65EF" w:rsidRPr="00941652" w:rsidRDefault="00941652" w:rsidP="006C65EF">
            <w:pPr>
              <w:jc w:val="center"/>
              <w:rPr>
                <w:sz w:val="22"/>
                <w:szCs w:val="22"/>
                <w:highlight w:val="yellow"/>
                <w:lang w:val="es-ES"/>
              </w:rPr>
            </w:pPr>
            <w:r w:rsidRPr="00941652">
              <w:rPr>
                <w:bdr w:val="nil"/>
                <w:lang w:val="es-ES"/>
              </w:rPr>
              <w:t xml:space="preserve">24.062 </w:t>
            </w:r>
          </w:p>
        </w:tc>
        <w:tc>
          <w:tcPr>
            <w:tcW w:w="236" w:type="dxa"/>
            <w:tcBorders>
              <w:top w:val="nil"/>
              <w:left w:val="nil"/>
              <w:bottom w:val="nil"/>
              <w:right w:val="nil"/>
            </w:tcBorders>
          </w:tcPr>
          <w:p w14:paraId="45C41E52" w14:textId="77777777" w:rsidR="006C65EF" w:rsidRPr="00941652" w:rsidRDefault="003F2308" w:rsidP="006C65EF">
            <w:pPr>
              <w:jc w:val="center"/>
              <w:rPr>
                <w:sz w:val="22"/>
                <w:szCs w:val="22"/>
                <w:highlight w:val="yellow"/>
                <w:lang w:val="es-ES"/>
              </w:rPr>
            </w:pPr>
          </w:p>
        </w:tc>
        <w:tc>
          <w:tcPr>
            <w:tcW w:w="236" w:type="dxa"/>
            <w:tcBorders>
              <w:top w:val="nil"/>
              <w:left w:val="nil"/>
              <w:bottom w:val="nil"/>
              <w:right w:val="nil"/>
            </w:tcBorders>
            <w:shd w:val="clear" w:color="auto" w:fill="auto"/>
            <w:noWrap/>
          </w:tcPr>
          <w:p w14:paraId="0FCBF9AC" w14:textId="77777777" w:rsidR="006C65EF" w:rsidRPr="00941652" w:rsidRDefault="003F2308" w:rsidP="006C65EF">
            <w:pPr>
              <w:rPr>
                <w:sz w:val="22"/>
                <w:szCs w:val="22"/>
                <w:highlight w:val="yellow"/>
                <w:lang w:val="es-ES"/>
              </w:rPr>
            </w:pPr>
          </w:p>
        </w:tc>
        <w:tc>
          <w:tcPr>
            <w:tcW w:w="1188" w:type="dxa"/>
            <w:tcBorders>
              <w:top w:val="nil"/>
              <w:left w:val="nil"/>
              <w:bottom w:val="nil"/>
              <w:right w:val="nil"/>
            </w:tcBorders>
            <w:shd w:val="clear" w:color="auto" w:fill="auto"/>
            <w:noWrap/>
          </w:tcPr>
          <w:p w14:paraId="1F35F2B5" w14:textId="77777777" w:rsidR="006C65EF" w:rsidRPr="00941652" w:rsidRDefault="00941652" w:rsidP="006C65EF">
            <w:pPr>
              <w:jc w:val="center"/>
              <w:rPr>
                <w:sz w:val="22"/>
                <w:szCs w:val="22"/>
                <w:highlight w:val="yellow"/>
                <w:lang w:val="es-ES"/>
              </w:rPr>
            </w:pPr>
            <w:r w:rsidRPr="00941652">
              <w:rPr>
                <w:bdr w:val="nil"/>
                <w:lang w:val="es-ES"/>
              </w:rPr>
              <w:t xml:space="preserve">0.134 </w:t>
            </w:r>
          </w:p>
        </w:tc>
        <w:tc>
          <w:tcPr>
            <w:tcW w:w="236" w:type="dxa"/>
            <w:tcBorders>
              <w:top w:val="nil"/>
              <w:left w:val="nil"/>
              <w:bottom w:val="nil"/>
              <w:right w:val="nil"/>
            </w:tcBorders>
            <w:shd w:val="clear" w:color="auto" w:fill="auto"/>
            <w:noWrap/>
          </w:tcPr>
          <w:p w14:paraId="73ACDE92" w14:textId="77777777" w:rsidR="006C65EF" w:rsidRPr="00941652" w:rsidRDefault="003F2308" w:rsidP="006C65EF">
            <w:pPr>
              <w:rPr>
                <w:sz w:val="22"/>
                <w:szCs w:val="22"/>
                <w:highlight w:val="yellow"/>
                <w:lang w:val="es-ES"/>
              </w:rPr>
            </w:pPr>
          </w:p>
        </w:tc>
        <w:tc>
          <w:tcPr>
            <w:tcW w:w="1470" w:type="dxa"/>
            <w:tcBorders>
              <w:top w:val="nil"/>
              <w:left w:val="nil"/>
              <w:bottom w:val="nil"/>
              <w:right w:val="nil"/>
            </w:tcBorders>
          </w:tcPr>
          <w:p w14:paraId="49E3788E" w14:textId="77777777" w:rsidR="006C65EF" w:rsidRPr="00941652" w:rsidRDefault="00941652" w:rsidP="006C65EF">
            <w:pPr>
              <w:jc w:val="center"/>
              <w:rPr>
                <w:sz w:val="22"/>
                <w:szCs w:val="22"/>
                <w:highlight w:val="yellow"/>
                <w:lang w:val="es-ES"/>
              </w:rPr>
            </w:pPr>
            <w:r w:rsidRPr="00941652">
              <w:rPr>
                <w:bdr w:val="nil"/>
                <w:lang w:val="es-ES"/>
              </w:rPr>
              <w:t>0.6%</w:t>
            </w:r>
          </w:p>
        </w:tc>
        <w:tc>
          <w:tcPr>
            <w:tcW w:w="257" w:type="dxa"/>
            <w:tcBorders>
              <w:top w:val="nil"/>
              <w:left w:val="nil"/>
              <w:bottom w:val="nil"/>
              <w:right w:val="nil"/>
            </w:tcBorders>
          </w:tcPr>
          <w:p w14:paraId="3694C09E" w14:textId="77777777" w:rsidR="006C65EF" w:rsidRPr="00941652" w:rsidRDefault="003F2308" w:rsidP="006C65EF">
            <w:pPr>
              <w:jc w:val="center"/>
              <w:rPr>
                <w:sz w:val="22"/>
                <w:szCs w:val="22"/>
                <w:lang w:val="es-ES"/>
              </w:rPr>
            </w:pPr>
          </w:p>
        </w:tc>
      </w:tr>
      <w:tr w:rsidR="00B74E1D" w:rsidRPr="00941652" w14:paraId="765A2F94" w14:textId="77777777" w:rsidTr="001B5B8E">
        <w:trPr>
          <w:trHeight w:val="255"/>
          <w:jc w:val="center"/>
        </w:trPr>
        <w:tc>
          <w:tcPr>
            <w:tcW w:w="2059" w:type="dxa"/>
            <w:tcBorders>
              <w:top w:val="nil"/>
              <w:left w:val="nil"/>
              <w:bottom w:val="nil"/>
              <w:right w:val="nil"/>
            </w:tcBorders>
            <w:shd w:val="clear" w:color="auto" w:fill="auto"/>
            <w:noWrap/>
          </w:tcPr>
          <w:p w14:paraId="513A51F5" w14:textId="77777777" w:rsidR="006C65EF" w:rsidRPr="00941652" w:rsidRDefault="00941652" w:rsidP="00FB5976">
            <w:pPr>
              <w:rPr>
                <w:b/>
                <w:bCs/>
                <w:sz w:val="22"/>
                <w:szCs w:val="22"/>
                <w:lang w:val="es-ES"/>
              </w:rPr>
            </w:pPr>
            <w:r w:rsidRPr="00941652">
              <w:rPr>
                <w:b/>
                <w:bCs/>
                <w:sz w:val="22"/>
                <w:szCs w:val="22"/>
                <w:bdr w:val="nil"/>
                <w:lang w:val="es-ES"/>
              </w:rPr>
              <w:t>CeI mediano y grande</w:t>
            </w:r>
            <w:r w:rsidRPr="00941652">
              <w:rPr>
                <w:b/>
                <w:bCs/>
                <w:sz w:val="22"/>
                <w:szCs w:val="22"/>
                <w:bdr w:val="nil"/>
                <w:vertAlign w:val="superscript"/>
                <w:lang w:val="es-ES"/>
              </w:rPr>
              <w:t>2</w:t>
            </w:r>
            <w:r w:rsidRPr="00941652">
              <w:rPr>
                <w:b/>
                <w:bCs/>
                <w:sz w:val="22"/>
                <w:szCs w:val="22"/>
                <w:bdr w:val="nil"/>
                <w:lang w:val="es-ES"/>
              </w:rPr>
              <w:t xml:space="preserve"> </w:t>
            </w:r>
          </w:p>
        </w:tc>
        <w:tc>
          <w:tcPr>
            <w:tcW w:w="270" w:type="dxa"/>
            <w:tcBorders>
              <w:top w:val="nil"/>
              <w:left w:val="nil"/>
              <w:bottom w:val="nil"/>
              <w:right w:val="nil"/>
            </w:tcBorders>
            <w:shd w:val="clear" w:color="auto" w:fill="auto"/>
            <w:noWrap/>
          </w:tcPr>
          <w:p w14:paraId="45671632" w14:textId="77777777" w:rsidR="006C65EF" w:rsidRPr="00941652" w:rsidRDefault="003F2308" w:rsidP="006C65EF">
            <w:pPr>
              <w:rPr>
                <w:sz w:val="22"/>
                <w:szCs w:val="22"/>
                <w:highlight w:val="yellow"/>
                <w:lang w:val="es-ES"/>
              </w:rPr>
            </w:pPr>
          </w:p>
        </w:tc>
        <w:tc>
          <w:tcPr>
            <w:tcW w:w="1634" w:type="dxa"/>
            <w:tcBorders>
              <w:top w:val="nil"/>
              <w:left w:val="nil"/>
              <w:bottom w:val="nil"/>
              <w:right w:val="nil"/>
            </w:tcBorders>
            <w:shd w:val="clear" w:color="auto" w:fill="auto"/>
            <w:noWrap/>
          </w:tcPr>
          <w:p w14:paraId="1ECB4F1D" w14:textId="77777777" w:rsidR="006C65EF" w:rsidRPr="00941652" w:rsidRDefault="00941652" w:rsidP="006C65EF">
            <w:pPr>
              <w:jc w:val="center"/>
              <w:rPr>
                <w:sz w:val="22"/>
                <w:szCs w:val="22"/>
                <w:highlight w:val="yellow"/>
                <w:lang w:val="es-ES"/>
              </w:rPr>
            </w:pPr>
            <w:r w:rsidRPr="00941652">
              <w:rPr>
                <w:bdr w:val="nil"/>
                <w:lang w:val="es-ES"/>
              </w:rPr>
              <w:t xml:space="preserve">19.850 </w:t>
            </w:r>
          </w:p>
        </w:tc>
        <w:tc>
          <w:tcPr>
            <w:tcW w:w="236" w:type="dxa"/>
            <w:tcBorders>
              <w:top w:val="nil"/>
              <w:left w:val="nil"/>
              <w:bottom w:val="nil"/>
              <w:right w:val="nil"/>
            </w:tcBorders>
            <w:shd w:val="clear" w:color="auto" w:fill="auto"/>
            <w:noWrap/>
          </w:tcPr>
          <w:p w14:paraId="78A6C1EE" w14:textId="77777777" w:rsidR="006C65EF" w:rsidRPr="00941652" w:rsidRDefault="003F2308" w:rsidP="006C65EF">
            <w:pPr>
              <w:rPr>
                <w:sz w:val="22"/>
                <w:szCs w:val="22"/>
                <w:highlight w:val="yellow"/>
                <w:lang w:val="es-ES"/>
              </w:rPr>
            </w:pPr>
          </w:p>
        </w:tc>
        <w:tc>
          <w:tcPr>
            <w:tcW w:w="1943" w:type="dxa"/>
            <w:tcBorders>
              <w:top w:val="nil"/>
              <w:left w:val="nil"/>
              <w:bottom w:val="nil"/>
              <w:right w:val="nil"/>
            </w:tcBorders>
          </w:tcPr>
          <w:p w14:paraId="306AC2B8" w14:textId="77777777" w:rsidR="006C65EF" w:rsidRPr="00941652" w:rsidRDefault="00941652" w:rsidP="006C65EF">
            <w:pPr>
              <w:jc w:val="center"/>
              <w:rPr>
                <w:sz w:val="22"/>
                <w:szCs w:val="22"/>
                <w:highlight w:val="yellow"/>
                <w:lang w:val="es-ES"/>
              </w:rPr>
            </w:pPr>
            <w:r w:rsidRPr="00941652">
              <w:rPr>
                <w:bdr w:val="nil"/>
                <w:lang w:val="es-ES"/>
              </w:rPr>
              <w:t xml:space="preserve">19.962 </w:t>
            </w:r>
          </w:p>
        </w:tc>
        <w:tc>
          <w:tcPr>
            <w:tcW w:w="236" w:type="dxa"/>
            <w:tcBorders>
              <w:top w:val="nil"/>
              <w:left w:val="nil"/>
              <w:bottom w:val="nil"/>
              <w:right w:val="nil"/>
            </w:tcBorders>
          </w:tcPr>
          <w:p w14:paraId="0ABCDF0B" w14:textId="77777777" w:rsidR="006C65EF" w:rsidRPr="00941652" w:rsidRDefault="003F2308" w:rsidP="006C65EF">
            <w:pPr>
              <w:jc w:val="center"/>
              <w:rPr>
                <w:sz w:val="22"/>
                <w:szCs w:val="22"/>
                <w:highlight w:val="yellow"/>
                <w:lang w:val="es-ES"/>
              </w:rPr>
            </w:pPr>
          </w:p>
        </w:tc>
        <w:tc>
          <w:tcPr>
            <w:tcW w:w="236" w:type="dxa"/>
            <w:tcBorders>
              <w:top w:val="nil"/>
              <w:left w:val="nil"/>
              <w:bottom w:val="nil"/>
              <w:right w:val="nil"/>
            </w:tcBorders>
            <w:shd w:val="clear" w:color="auto" w:fill="auto"/>
            <w:noWrap/>
          </w:tcPr>
          <w:p w14:paraId="0AC56671" w14:textId="77777777" w:rsidR="006C65EF" w:rsidRPr="00941652" w:rsidRDefault="003F2308" w:rsidP="006C65EF">
            <w:pPr>
              <w:rPr>
                <w:sz w:val="22"/>
                <w:szCs w:val="22"/>
                <w:highlight w:val="yellow"/>
                <w:lang w:val="es-ES"/>
              </w:rPr>
            </w:pPr>
          </w:p>
        </w:tc>
        <w:tc>
          <w:tcPr>
            <w:tcW w:w="1188" w:type="dxa"/>
            <w:tcBorders>
              <w:top w:val="nil"/>
              <w:left w:val="nil"/>
              <w:bottom w:val="nil"/>
              <w:right w:val="nil"/>
            </w:tcBorders>
            <w:shd w:val="clear" w:color="auto" w:fill="auto"/>
            <w:noWrap/>
          </w:tcPr>
          <w:p w14:paraId="51F7AE6E" w14:textId="77777777" w:rsidR="006C65EF" w:rsidRPr="00941652" w:rsidRDefault="00941652" w:rsidP="006C65EF">
            <w:pPr>
              <w:jc w:val="center"/>
              <w:rPr>
                <w:sz w:val="22"/>
                <w:szCs w:val="22"/>
                <w:highlight w:val="yellow"/>
                <w:lang w:val="es-ES"/>
              </w:rPr>
            </w:pPr>
            <w:r w:rsidRPr="00941652">
              <w:rPr>
                <w:bdr w:val="nil"/>
                <w:lang w:val="es-ES"/>
              </w:rPr>
              <w:t xml:space="preserve">0.112 </w:t>
            </w:r>
          </w:p>
        </w:tc>
        <w:tc>
          <w:tcPr>
            <w:tcW w:w="236" w:type="dxa"/>
            <w:tcBorders>
              <w:top w:val="nil"/>
              <w:left w:val="nil"/>
              <w:bottom w:val="nil"/>
              <w:right w:val="nil"/>
            </w:tcBorders>
            <w:shd w:val="clear" w:color="auto" w:fill="auto"/>
            <w:noWrap/>
          </w:tcPr>
          <w:p w14:paraId="25EB8056" w14:textId="77777777" w:rsidR="006C65EF" w:rsidRPr="00941652" w:rsidRDefault="003F2308" w:rsidP="006C65EF">
            <w:pPr>
              <w:rPr>
                <w:sz w:val="22"/>
                <w:szCs w:val="22"/>
                <w:highlight w:val="yellow"/>
                <w:lang w:val="es-ES"/>
              </w:rPr>
            </w:pPr>
          </w:p>
        </w:tc>
        <w:tc>
          <w:tcPr>
            <w:tcW w:w="1470" w:type="dxa"/>
            <w:tcBorders>
              <w:top w:val="nil"/>
              <w:left w:val="nil"/>
              <w:bottom w:val="nil"/>
              <w:right w:val="nil"/>
            </w:tcBorders>
          </w:tcPr>
          <w:p w14:paraId="56A73CEE" w14:textId="77777777" w:rsidR="006C65EF" w:rsidRPr="00941652" w:rsidRDefault="00941652" w:rsidP="006C65EF">
            <w:pPr>
              <w:jc w:val="center"/>
              <w:rPr>
                <w:sz w:val="22"/>
                <w:szCs w:val="22"/>
                <w:highlight w:val="yellow"/>
                <w:lang w:val="es-ES"/>
              </w:rPr>
            </w:pPr>
            <w:r w:rsidRPr="00941652">
              <w:rPr>
                <w:bdr w:val="nil"/>
                <w:lang w:val="es-ES"/>
              </w:rPr>
              <w:t>0.6%</w:t>
            </w:r>
          </w:p>
        </w:tc>
        <w:tc>
          <w:tcPr>
            <w:tcW w:w="257" w:type="dxa"/>
            <w:tcBorders>
              <w:top w:val="nil"/>
              <w:left w:val="nil"/>
              <w:bottom w:val="nil"/>
              <w:right w:val="nil"/>
            </w:tcBorders>
          </w:tcPr>
          <w:p w14:paraId="68D9608F" w14:textId="77777777" w:rsidR="006C65EF" w:rsidRPr="00941652" w:rsidRDefault="003F2308" w:rsidP="006C65EF">
            <w:pPr>
              <w:jc w:val="center"/>
              <w:rPr>
                <w:sz w:val="22"/>
                <w:szCs w:val="22"/>
                <w:lang w:val="es-ES"/>
              </w:rPr>
            </w:pPr>
          </w:p>
        </w:tc>
      </w:tr>
      <w:tr w:rsidR="00B74E1D" w:rsidRPr="00941652" w14:paraId="408AF455" w14:textId="77777777" w:rsidTr="001B5B8E">
        <w:trPr>
          <w:trHeight w:val="255"/>
          <w:jc w:val="center"/>
        </w:trPr>
        <w:tc>
          <w:tcPr>
            <w:tcW w:w="2059" w:type="dxa"/>
            <w:tcBorders>
              <w:top w:val="nil"/>
              <w:left w:val="nil"/>
              <w:bottom w:val="nil"/>
              <w:right w:val="nil"/>
            </w:tcBorders>
            <w:shd w:val="clear" w:color="auto" w:fill="auto"/>
            <w:noWrap/>
          </w:tcPr>
          <w:p w14:paraId="7CE0349A" w14:textId="77777777" w:rsidR="006C65EF" w:rsidRPr="00941652" w:rsidRDefault="00941652" w:rsidP="006C65EF">
            <w:pPr>
              <w:rPr>
                <w:b/>
                <w:bCs/>
                <w:sz w:val="22"/>
                <w:szCs w:val="22"/>
                <w:lang w:val="es-ES"/>
              </w:rPr>
            </w:pPr>
            <w:r w:rsidRPr="00941652">
              <w:rPr>
                <w:b/>
                <w:bCs/>
                <w:sz w:val="22"/>
                <w:szCs w:val="22"/>
                <w:bdr w:val="nil"/>
                <w:lang w:val="es-ES"/>
              </w:rPr>
              <w:t>Agrícola</w:t>
            </w:r>
          </w:p>
        </w:tc>
        <w:tc>
          <w:tcPr>
            <w:tcW w:w="270" w:type="dxa"/>
            <w:tcBorders>
              <w:top w:val="nil"/>
              <w:left w:val="nil"/>
              <w:bottom w:val="nil"/>
              <w:right w:val="nil"/>
            </w:tcBorders>
            <w:shd w:val="clear" w:color="auto" w:fill="auto"/>
            <w:noWrap/>
          </w:tcPr>
          <w:p w14:paraId="404EF141" w14:textId="77777777" w:rsidR="006C65EF" w:rsidRPr="00941652" w:rsidRDefault="003F2308" w:rsidP="006C65EF">
            <w:pPr>
              <w:rPr>
                <w:sz w:val="22"/>
                <w:szCs w:val="22"/>
                <w:highlight w:val="yellow"/>
                <w:lang w:val="es-ES"/>
              </w:rPr>
            </w:pPr>
          </w:p>
        </w:tc>
        <w:tc>
          <w:tcPr>
            <w:tcW w:w="1634" w:type="dxa"/>
            <w:tcBorders>
              <w:top w:val="nil"/>
              <w:left w:val="nil"/>
              <w:bottom w:val="nil"/>
              <w:right w:val="nil"/>
            </w:tcBorders>
            <w:shd w:val="clear" w:color="auto" w:fill="auto"/>
            <w:noWrap/>
          </w:tcPr>
          <w:p w14:paraId="2F8A2773" w14:textId="77777777" w:rsidR="006C65EF" w:rsidRPr="00941652" w:rsidRDefault="00941652" w:rsidP="006C65EF">
            <w:pPr>
              <w:jc w:val="center"/>
              <w:rPr>
                <w:sz w:val="22"/>
                <w:szCs w:val="22"/>
                <w:highlight w:val="yellow"/>
                <w:lang w:val="es-ES"/>
              </w:rPr>
            </w:pPr>
            <w:r w:rsidRPr="00941652">
              <w:rPr>
                <w:bdr w:val="nil"/>
                <w:lang w:val="es-ES"/>
              </w:rPr>
              <w:t xml:space="preserve">17.735 </w:t>
            </w:r>
          </w:p>
        </w:tc>
        <w:tc>
          <w:tcPr>
            <w:tcW w:w="236" w:type="dxa"/>
            <w:tcBorders>
              <w:top w:val="nil"/>
              <w:left w:val="nil"/>
              <w:bottom w:val="nil"/>
              <w:right w:val="nil"/>
            </w:tcBorders>
            <w:shd w:val="clear" w:color="auto" w:fill="auto"/>
            <w:noWrap/>
          </w:tcPr>
          <w:p w14:paraId="621842A3" w14:textId="77777777" w:rsidR="006C65EF" w:rsidRPr="00941652" w:rsidRDefault="003F2308" w:rsidP="006C65EF">
            <w:pPr>
              <w:rPr>
                <w:sz w:val="22"/>
                <w:szCs w:val="22"/>
                <w:highlight w:val="yellow"/>
                <w:lang w:val="es-ES"/>
              </w:rPr>
            </w:pPr>
          </w:p>
        </w:tc>
        <w:tc>
          <w:tcPr>
            <w:tcW w:w="1943" w:type="dxa"/>
            <w:tcBorders>
              <w:top w:val="nil"/>
              <w:left w:val="nil"/>
              <w:bottom w:val="nil"/>
              <w:right w:val="nil"/>
            </w:tcBorders>
          </w:tcPr>
          <w:p w14:paraId="57C15B94" w14:textId="77777777" w:rsidR="006C65EF" w:rsidRPr="00941652" w:rsidRDefault="00941652" w:rsidP="006C65EF">
            <w:pPr>
              <w:jc w:val="center"/>
              <w:rPr>
                <w:sz w:val="22"/>
                <w:szCs w:val="22"/>
                <w:highlight w:val="yellow"/>
                <w:lang w:val="es-ES"/>
              </w:rPr>
            </w:pPr>
            <w:r w:rsidRPr="00941652">
              <w:rPr>
                <w:bdr w:val="nil"/>
                <w:lang w:val="es-ES"/>
              </w:rPr>
              <w:t xml:space="preserve">17.802 </w:t>
            </w:r>
          </w:p>
        </w:tc>
        <w:tc>
          <w:tcPr>
            <w:tcW w:w="236" w:type="dxa"/>
            <w:tcBorders>
              <w:top w:val="nil"/>
              <w:left w:val="nil"/>
              <w:bottom w:val="nil"/>
              <w:right w:val="nil"/>
            </w:tcBorders>
          </w:tcPr>
          <w:p w14:paraId="2FE319FA" w14:textId="77777777" w:rsidR="006C65EF" w:rsidRPr="00941652" w:rsidRDefault="003F2308" w:rsidP="006C65EF">
            <w:pPr>
              <w:jc w:val="center"/>
              <w:rPr>
                <w:sz w:val="22"/>
                <w:szCs w:val="22"/>
                <w:highlight w:val="yellow"/>
                <w:lang w:val="es-ES"/>
              </w:rPr>
            </w:pPr>
          </w:p>
        </w:tc>
        <w:tc>
          <w:tcPr>
            <w:tcW w:w="236" w:type="dxa"/>
            <w:tcBorders>
              <w:top w:val="nil"/>
              <w:left w:val="nil"/>
              <w:bottom w:val="nil"/>
              <w:right w:val="nil"/>
            </w:tcBorders>
            <w:shd w:val="clear" w:color="auto" w:fill="auto"/>
            <w:noWrap/>
          </w:tcPr>
          <w:p w14:paraId="36686429" w14:textId="77777777" w:rsidR="006C65EF" w:rsidRPr="00941652" w:rsidRDefault="003F2308" w:rsidP="006C65EF">
            <w:pPr>
              <w:rPr>
                <w:sz w:val="22"/>
                <w:szCs w:val="22"/>
                <w:highlight w:val="yellow"/>
                <w:lang w:val="es-ES"/>
              </w:rPr>
            </w:pPr>
          </w:p>
        </w:tc>
        <w:tc>
          <w:tcPr>
            <w:tcW w:w="1188" w:type="dxa"/>
            <w:tcBorders>
              <w:top w:val="nil"/>
              <w:left w:val="nil"/>
              <w:bottom w:val="nil"/>
              <w:right w:val="nil"/>
            </w:tcBorders>
            <w:shd w:val="clear" w:color="auto" w:fill="auto"/>
            <w:noWrap/>
          </w:tcPr>
          <w:p w14:paraId="5DD758A7" w14:textId="77777777" w:rsidR="006C65EF" w:rsidRPr="00941652" w:rsidRDefault="00941652" w:rsidP="006C65EF">
            <w:pPr>
              <w:jc w:val="center"/>
              <w:rPr>
                <w:sz w:val="22"/>
                <w:szCs w:val="22"/>
                <w:highlight w:val="yellow"/>
                <w:lang w:val="es-ES"/>
              </w:rPr>
            </w:pPr>
            <w:r w:rsidRPr="00941652">
              <w:rPr>
                <w:bdr w:val="nil"/>
                <w:lang w:val="es-ES"/>
              </w:rPr>
              <w:t xml:space="preserve">0.067 </w:t>
            </w:r>
          </w:p>
        </w:tc>
        <w:tc>
          <w:tcPr>
            <w:tcW w:w="236" w:type="dxa"/>
            <w:tcBorders>
              <w:top w:val="nil"/>
              <w:left w:val="nil"/>
              <w:bottom w:val="nil"/>
              <w:right w:val="nil"/>
            </w:tcBorders>
            <w:shd w:val="clear" w:color="auto" w:fill="auto"/>
            <w:noWrap/>
          </w:tcPr>
          <w:p w14:paraId="2970DDC1" w14:textId="77777777" w:rsidR="006C65EF" w:rsidRPr="00941652" w:rsidRDefault="003F2308" w:rsidP="006C65EF">
            <w:pPr>
              <w:rPr>
                <w:sz w:val="22"/>
                <w:szCs w:val="22"/>
                <w:highlight w:val="yellow"/>
                <w:lang w:val="es-ES"/>
              </w:rPr>
            </w:pPr>
          </w:p>
        </w:tc>
        <w:tc>
          <w:tcPr>
            <w:tcW w:w="1470" w:type="dxa"/>
            <w:tcBorders>
              <w:top w:val="nil"/>
              <w:left w:val="nil"/>
              <w:bottom w:val="nil"/>
              <w:right w:val="nil"/>
            </w:tcBorders>
          </w:tcPr>
          <w:p w14:paraId="69F7FBD8" w14:textId="77777777" w:rsidR="006C65EF" w:rsidRPr="00941652" w:rsidRDefault="00941652" w:rsidP="006C65EF">
            <w:pPr>
              <w:jc w:val="center"/>
              <w:rPr>
                <w:sz w:val="22"/>
                <w:szCs w:val="22"/>
                <w:highlight w:val="yellow"/>
                <w:lang w:val="es-ES"/>
              </w:rPr>
            </w:pPr>
            <w:r w:rsidRPr="00941652">
              <w:rPr>
                <w:bdr w:val="nil"/>
                <w:lang w:val="es-ES"/>
              </w:rPr>
              <w:t>0.4%</w:t>
            </w:r>
          </w:p>
        </w:tc>
        <w:tc>
          <w:tcPr>
            <w:tcW w:w="257" w:type="dxa"/>
            <w:tcBorders>
              <w:top w:val="nil"/>
              <w:left w:val="nil"/>
              <w:bottom w:val="nil"/>
              <w:right w:val="nil"/>
            </w:tcBorders>
          </w:tcPr>
          <w:p w14:paraId="6985794A" w14:textId="77777777" w:rsidR="006C65EF" w:rsidRPr="00941652" w:rsidRDefault="003F2308" w:rsidP="006C65EF">
            <w:pPr>
              <w:jc w:val="center"/>
              <w:rPr>
                <w:sz w:val="22"/>
                <w:szCs w:val="22"/>
                <w:lang w:val="es-ES"/>
              </w:rPr>
            </w:pPr>
          </w:p>
        </w:tc>
      </w:tr>
      <w:tr w:rsidR="00B74E1D" w:rsidRPr="00941652" w14:paraId="1A5DA394" w14:textId="77777777" w:rsidTr="001B5B8E">
        <w:trPr>
          <w:trHeight w:val="255"/>
          <w:jc w:val="center"/>
        </w:trPr>
        <w:tc>
          <w:tcPr>
            <w:tcW w:w="2059" w:type="dxa"/>
            <w:tcBorders>
              <w:top w:val="nil"/>
              <w:left w:val="nil"/>
              <w:right w:val="nil"/>
            </w:tcBorders>
            <w:shd w:val="clear" w:color="auto" w:fill="auto"/>
            <w:noWrap/>
          </w:tcPr>
          <w:p w14:paraId="2DCC42A9" w14:textId="77777777" w:rsidR="006C65EF" w:rsidRPr="00941652" w:rsidRDefault="00941652" w:rsidP="006C65EF">
            <w:pPr>
              <w:rPr>
                <w:b/>
                <w:bCs/>
                <w:sz w:val="22"/>
                <w:szCs w:val="22"/>
                <w:lang w:val="es-ES"/>
              </w:rPr>
            </w:pPr>
            <w:r w:rsidRPr="00941652">
              <w:rPr>
                <w:b/>
                <w:bCs/>
                <w:sz w:val="22"/>
                <w:szCs w:val="22"/>
                <w:bdr w:val="nil"/>
                <w:lang w:val="es-ES"/>
              </w:rPr>
              <w:t>Iluminación</w:t>
            </w:r>
          </w:p>
        </w:tc>
        <w:tc>
          <w:tcPr>
            <w:tcW w:w="270" w:type="dxa"/>
            <w:tcBorders>
              <w:top w:val="nil"/>
              <w:left w:val="nil"/>
              <w:bottom w:val="nil"/>
              <w:right w:val="nil"/>
            </w:tcBorders>
            <w:shd w:val="clear" w:color="auto" w:fill="auto"/>
            <w:noWrap/>
          </w:tcPr>
          <w:p w14:paraId="102628CF" w14:textId="77777777" w:rsidR="006C65EF" w:rsidRPr="00941652" w:rsidRDefault="003F2308" w:rsidP="006C65EF">
            <w:pPr>
              <w:rPr>
                <w:sz w:val="22"/>
                <w:szCs w:val="22"/>
                <w:highlight w:val="yellow"/>
                <w:lang w:val="es-ES"/>
              </w:rPr>
            </w:pPr>
          </w:p>
        </w:tc>
        <w:tc>
          <w:tcPr>
            <w:tcW w:w="1634" w:type="dxa"/>
            <w:tcBorders>
              <w:top w:val="nil"/>
              <w:left w:val="nil"/>
              <w:right w:val="nil"/>
            </w:tcBorders>
            <w:shd w:val="clear" w:color="auto" w:fill="auto"/>
            <w:noWrap/>
          </w:tcPr>
          <w:p w14:paraId="22F857C1" w14:textId="77777777" w:rsidR="006C65EF" w:rsidRPr="00941652" w:rsidRDefault="00941652" w:rsidP="006C65EF">
            <w:pPr>
              <w:jc w:val="center"/>
              <w:rPr>
                <w:sz w:val="22"/>
                <w:szCs w:val="22"/>
                <w:highlight w:val="yellow"/>
                <w:lang w:val="es-ES"/>
              </w:rPr>
            </w:pPr>
            <w:r w:rsidRPr="00941652">
              <w:rPr>
                <w:bdr w:val="nil"/>
                <w:lang w:val="es-ES"/>
              </w:rPr>
              <w:t xml:space="preserve">19.917 </w:t>
            </w:r>
          </w:p>
        </w:tc>
        <w:tc>
          <w:tcPr>
            <w:tcW w:w="236" w:type="dxa"/>
            <w:tcBorders>
              <w:top w:val="nil"/>
              <w:left w:val="nil"/>
              <w:bottom w:val="nil"/>
              <w:right w:val="nil"/>
            </w:tcBorders>
            <w:shd w:val="clear" w:color="auto" w:fill="auto"/>
            <w:noWrap/>
          </w:tcPr>
          <w:p w14:paraId="2C4B56B0" w14:textId="77777777" w:rsidR="006C65EF" w:rsidRPr="00941652" w:rsidRDefault="003F2308" w:rsidP="006C65EF">
            <w:pPr>
              <w:rPr>
                <w:sz w:val="22"/>
                <w:szCs w:val="22"/>
                <w:highlight w:val="yellow"/>
                <w:lang w:val="es-ES"/>
              </w:rPr>
            </w:pPr>
          </w:p>
        </w:tc>
        <w:tc>
          <w:tcPr>
            <w:tcW w:w="1943" w:type="dxa"/>
            <w:tcBorders>
              <w:top w:val="nil"/>
              <w:left w:val="nil"/>
              <w:right w:val="nil"/>
            </w:tcBorders>
          </w:tcPr>
          <w:p w14:paraId="61497407" w14:textId="77777777" w:rsidR="006C65EF" w:rsidRPr="00941652" w:rsidRDefault="00941652" w:rsidP="006C65EF">
            <w:pPr>
              <w:jc w:val="center"/>
              <w:rPr>
                <w:sz w:val="22"/>
                <w:szCs w:val="22"/>
                <w:highlight w:val="yellow"/>
                <w:lang w:val="es-ES"/>
              </w:rPr>
            </w:pPr>
            <w:r w:rsidRPr="00941652">
              <w:rPr>
                <w:bdr w:val="nil"/>
                <w:lang w:val="es-ES"/>
              </w:rPr>
              <w:t xml:space="preserve">20.008 </w:t>
            </w:r>
          </w:p>
        </w:tc>
        <w:tc>
          <w:tcPr>
            <w:tcW w:w="236" w:type="dxa"/>
            <w:tcBorders>
              <w:top w:val="nil"/>
              <w:left w:val="nil"/>
              <w:bottom w:val="nil"/>
              <w:right w:val="nil"/>
            </w:tcBorders>
          </w:tcPr>
          <w:p w14:paraId="59F5256E" w14:textId="77777777" w:rsidR="006C65EF" w:rsidRPr="00941652" w:rsidRDefault="003F2308" w:rsidP="006C65EF">
            <w:pPr>
              <w:jc w:val="center"/>
              <w:rPr>
                <w:sz w:val="22"/>
                <w:szCs w:val="22"/>
                <w:highlight w:val="yellow"/>
                <w:lang w:val="es-ES"/>
              </w:rPr>
            </w:pPr>
          </w:p>
        </w:tc>
        <w:tc>
          <w:tcPr>
            <w:tcW w:w="236" w:type="dxa"/>
            <w:tcBorders>
              <w:top w:val="nil"/>
              <w:left w:val="nil"/>
              <w:bottom w:val="nil"/>
              <w:right w:val="nil"/>
            </w:tcBorders>
            <w:shd w:val="clear" w:color="auto" w:fill="auto"/>
            <w:noWrap/>
          </w:tcPr>
          <w:p w14:paraId="2CA9D497" w14:textId="77777777" w:rsidR="006C65EF" w:rsidRPr="00941652" w:rsidRDefault="003F2308" w:rsidP="006C65EF">
            <w:pPr>
              <w:rPr>
                <w:sz w:val="22"/>
                <w:szCs w:val="22"/>
                <w:highlight w:val="yellow"/>
                <w:lang w:val="es-ES"/>
              </w:rPr>
            </w:pPr>
          </w:p>
        </w:tc>
        <w:tc>
          <w:tcPr>
            <w:tcW w:w="1188" w:type="dxa"/>
            <w:tcBorders>
              <w:top w:val="nil"/>
              <w:left w:val="nil"/>
              <w:right w:val="nil"/>
            </w:tcBorders>
            <w:shd w:val="clear" w:color="auto" w:fill="auto"/>
            <w:noWrap/>
          </w:tcPr>
          <w:p w14:paraId="0A4D605A" w14:textId="77777777" w:rsidR="006C65EF" w:rsidRPr="00941652" w:rsidRDefault="00941652" w:rsidP="006C65EF">
            <w:pPr>
              <w:jc w:val="center"/>
              <w:rPr>
                <w:sz w:val="22"/>
                <w:szCs w:val="22"/>
                <w:highlight w:val="yellow"/>
                <w:lang w:val="es-ES"/>
              </w:rPr>
            </w:pPr>
            <w:r w:rsidRPr="00941652">
              <w:rPr>
                <w:bdr w:val="nil"/>
                <w:lang w:val="es-ES"/>
              </w:rPr>
              <w:t xml:space="preserve">0.091 </w:t>
            </w:r>
          </w:p>
        </w:tc>
        <w:tc>
          <w:tcPr>
            <w:tcW w:w="236" w:type="dxa"/>
            <w:tcBorders>
              <w:top w:val="nil"/>
              <w:left w:val="nil"/>
              <w:bottom w:val="nil"/>
              <w:right w:val="nil"/>
            </w:tcBorders>
            <w:shd w:val="clear" w:color="auto" w:fill="auto"/>
            <w:noWrap/>
          </w:tcPr>
          <w:p w14:paraId="557618B6" w14:textId="77777777" w:rsidR="006C65EF" w:rsidRPr="00941652" w:rsidRDefault="003F2308" w:rsidP="006C65EF">
            <w:pPr>
              <w:rPr>
                <w:sz w:val="22"/>
                <w:szCs w:val="22"/>
                <w:highlight w:val="yellow"/>
                <w:lang w:val="es-ES"/>
              </w:rPr>
            </w:pPr>
          </w:p>
        </w:tc>
        <w:tc>
          <w:tcPr>
            <w:tcW w:w="1470" w:type="dxa"/>
            <w:tcBorders>
              <w:top w:val="nil"/>
              <w:left w:val="nil"/>
              <w:right w:val="nil"/>
            </w:tcBorders>
          </w:tcPr>
          <w:p w14:paraId="2E9EEAEA" w14:textId="77777777" w:rsidR="006C65EF" w:rsidRPr="00941652" w:rsidRDefault="00941652" w:rsidP="006C65EF">
            <w:pPr>
              <w:jc w:val="center"/>
              <w:rPr>
                <w:sz w:val="22"/>
                <w:szCs w:val="22"/>
                <w:highlight w:val="yellow"/>
                <w:lang w:val="es-ES"/>
              </w:rPr>
            </w:pPr>
            <w:r w:rsidRPr="00941652">
              <w:rPr>
                <w:bdr w:val="nil"/>
                <w:lang w:val="es-ES"/>
              </w:rPr>
              <w:t>0.5%</w:t>
            </w:r>
          </w:p>
        </w:tc>
        <w:tc>
          <w:tcPr>
            <w:tcW w:w="257" w:type="dxa"/>
            <w:tcBorders>
              <w:top w:val="nil"/>
              <w:left w:val="nil"/>
              <w:bottom w:val="nil"/>
              <w:right w:val="nil"/>
            </w:tcBorders>
          </w:tcPr>
          <w:p w14:paraId="21A6E2F5" w14:textId="77777777" w:rsidR="006C65EF" w:rsidRPr="00941652" w:rsidRDefault="003F2308" w:rsidP="006C65EF">
            <w:pPr>
              <w:jc w:val="center"/>
              <w:rPr>
                <w:sz w:val="22"/>
                <w:szCs w:val="22"/>
                <w:lang w:val="es-ES"/>
              </w:rPr>
            </w:pPr>
          </w:p>
        </w:tc>
      </w:tr>
      <w:tr w:rsidR="00B74E1D" w:rsidRPr="00941652" w14:paraId="68C78000" w14:textId="77777777" w:rsidTr="001B5B8E">
        <w:trPr>
          <w:trHeight w:val="255"/>
          <w:jc w:val="center"/>
        </w:trPr>
        <w:tc>
          <w:tcPr>
            <w:tcW w:w="2059" w:type="dxa"/>
            <w:tcBorders>
              <w:top w:val="nil"/>
              <w:left w:val="nil"/>
              <w:bottom w:val="single" w:sz="4" w:space="0" w:color="auto"/>
              <w:right w:val="nil"/>
            </w:tcBorders>
            <w:shd w:val="clear" w:color="auto" w:fill="auto"/>
            <w:noWrap/>
          </w:tcPr>
          <w:p w14:paraId="15591EB0" w14:textId="77777777" w:rsidR="006C65EF" w:rsidRPr="00941652" w:rsidRDefault="00941652" w:rsidP="006C65EF">
            <w:pPr>
              <w:rPr>
                <w:b/>
                <w:bCs/>
                <w:sz w:val="22"/>
                <w:szCs w:val="22"/>
                <w:lang w:val="es-ES"/>
              </w:rPr>
            </w:pPr>
            <w:r w:rsidRPr="00941652">
              <w:rPr>
                <w:b/>
                <w:bCs/>
                <w:sz w:val="22"/>
                <w:szCs w:val="22"/>
                <w:bdr w:val="nil"/>
                <w:lang w:val="es-ES"/>
              </w:rPr>
              <w:t>Total del sistema</w:t>
            </w:r>
          </w:p>
        </w:tc>
        <w:tc>
          <w:tcPr>
            <w:tcW w:w="270" w:type="dxa"/>
            <w:tcBorders>
              <w:top w:val="nil"/>
              <w:left w:val="nil"/>
              <w:bottom w:val="nil"/>
              <w:right w:val="nil"/>
            </w:tcBorders>
            <w:shd w:val="clear" w:color="auto" w:fill="auto"/>
            <w:noWrap/>
          </w:tcPr>
          <w:p w14:paraId="16FB0913" w14:textId="77777777" w:rsidR="006C65EF" w:rsidRPr="00941652" w:rsidRDefault="003F2308" w:rsidP="006C65EF">
            <w:pPr>
              <w:rPr>
                <w:sz w:val="22"/>
                <w:szCs w:val="22"/>
                <w:highlight w:val="yellow"/>
                <w:lang w:val="es-ES"/>
              </w:rPr>
            </w:pPr>
          </w:p>
        </w:tc>
        <w:tc>
          <w:tcPr>
            <w:tcW w:w="1634" w:type="dxa"/>
            <w:tcBorders>
              <w:top w:val="nil"/>
              <w:left w:val="nil"/>
              <w:bottom w:val="single" w:sz="4" w:space="0" w:color="auto"/>
              <w:right w:val="nil"/>
            </w:tcBorders>
            <w:shd w:val="clear" w:color="auto" w:fill="auto"/>
            <w:noWrap/>
          </w:tcPr>
          <w:p w14:paraId="3797EE27" w14:textId="77777777" w:rsidR="006C65EF" w:rsidRPr="00941652" w:rsidRDefault="00941652" w:rsidP="006C65EF">
            <w:pPr>
              <w:jc w:val="center"/>
              <w:rPr>
                <w:sz w:val="22"/>
                <w:szCs w:val="22"/>
                <w:highlight w:val="yellow"/>
                <w:lang w:val="es-ES"/>
              </w:rPr>
            </w:pPr>
            <w:r w:rsidRPr="00941652">
              <w:rPr>
                <w:bdr w:val="nil"/>
                <w:lang w:val="es-ES"/>
              </w:rPr>
              <w:t xml:space="preserve">22.122 </w:t>
            </w:r>
          </w:p>
        </w:tc>
        <w:tc>
          <w:tcPr>
            <w:tcW w:w="236" w:type="dxa"/>
            <w:tcBorders>
              <w:top w:val="nil"/>
              <w:left w:val="nil"/>
              <w:bottom w:val="nil"/>
              <w:right w:val="nil"/>
            </w:tcBorders>
            <w:shd w:val="clear" w:color="auto" w:fill="auto"/>
            <w:noWrap/>
          </w:tcPr>
          <w:p w14:paraId="5A98163F" w14:textId="77777777" w:rsidR="006C65EF" w:rsidRPr="00941652" w:rsidRDefault="003F2308" w:rsidP="006C65EF">
            <w:pPr>
              <w:rPr>
                <w:sz w:val="22"/>
                <w:szCs w:val="22"/>
                <w:highlight w:val="yellow"/>
                <w:lang w:val="es-ES"/>
              </w:rPr>
            </w:pPr>
          </w:p>
        </w:tc>
        <w:tc>
          <w:tcPr>
            <w:tcW w:w="1943" w:type="dxa"/>
            <w:tcBorders>
              <w:top w:val="nil"/>
              <w:left w:val="nil"/>
              <w:bottom w:val="single" w:sz="4" w:space="0" w:color="auto"/>
              <w:right w:val="nil"/>
            </w:tcBorders>
          </w:tcPr>
          <w:p w14:paraId="179A650D" w14:textId="77777777" w:rsidR="006C65EF" w:rsidRPr="00941652" w:rsidRDefault="00941652" w:rsidP="006C65EF">
            <w:pPr>
              <w:jc w:val="center"/>
              <w:rPr>
                <w:sz w:val="22"/>
                <w:szCs w:val="22"/>
                <w:highlight w:val="yellow"/>
                <w:lang w:val="es-ES"/>
              </w:rPr>
            </w:pPr>
            <w:r w:rsidRPr="00941652">
              <w:rPr>
                <w:bdr w:val="nil"/>
                <w:lang w:val="es-ES"/>
              </w:rPr>
              <w:t xml:space="preserve">22.244 </w:t>
            </w:r>
          </w:p>
        </w:tc>
        <w:tc>
          <w:tcPr>
            <w:tcW w:w="236" w:type="dxa"/>
            <w:tcBorders>
              <w:top w:val="nil"/>
              <w:left w:val="nil"/>
              <w:bottom w:val="nil"/>
              <w:right w:val="nil"/>
            </w:tcBorders>
          </w:tcPr>
          <w:p w14:paraId="1923685C" w14:textId="77777777" w:rsidR="006C65EF" w:rsidRPr="00941652" w:rsidRDefault="003F2308" w:rsidP="006C65EF">
            <w:pPr>
              <w:jc w:val="center"/>
              <w:rPr>
                <w:sz w:val="22"/>
                <w:szCs w:val="22"/>
                <w:highlight w:val="yellow"/>
                <w:lang w:val="es-ES"/>
              </w:rPr>
            </w:pPr>
          </w:p>
        </w:tc>
        <w:tc>
          <w:tcPr>
            <w:tcW w:w="236" w:type="dxa"/>
            <w:tcBorders>
              <w:top w:val="nil"/>
              <w:left w:val="nil"/>
              <w:bottom w:val="nil"/>
              <w:right w:val="nil"/>
            </w:tcBorders>
            <w:shd w:val="clear" w:color="auto" w:fill="auto"/>
            <w:noWrap/>
          </w:tcPr>
          <w:p w14:paraId="7E675394" w14:textId="77777777" w:rsidR="006C65EF" w:rsidRPr="00941652" w:rsidRDefault="003F2308" w:rsidP="006C65EF">
            <w:pPr>
              <w:rPr>
                <w:sz w:val="22"/>
                <w:szCs w:val="22"/>
                <w:highlight w:val="yellow"/>
                <w:lang w:val="es-ES"/>
              </w:rPr>
            </w:pPr>
          </w:p>
        </w:tc>
        <w:tc>
          <w:tcPr>
            <w:tcW w:w="1188" w:type="dxa"/>
            <w:tcBorders>
              <w:top w:val="nil"/>
              <w:left w:val="nil"/>
              <w:bottom w:val="single" w:sz="4" w:space="0" w:color="auto"/>
              <w:right w:val="nil"/>
            </w:tcBorders>
            <w:shd w:val="clear" w:color="auto" w:fill="auto"/>
            <w:noWrap/>
          </w:tcPr>
          <w:p w14:paraId="5CFE63E1" w14:textId="77777777" w:rsidR="006C65EF" w:rsidRPr="00941652" w:rsidRDefault="00941652" w:rsidP="006C65EF">
            <w:pPr>
              <w:jc w:val="center"/>
              <w:rPr>
                <w:sz w:val="22"/>
                <w:szCs w:val="22"/>
                <w:highlight w:val="yellow"/>
                <w:lang w:val="es-ES"/>
              </w:rPr>
            </w:pPr>
            <w:r w:rsidRPr="00941652">
              <w:rPr>
                <w:bdr w:val="nil"/>
                <w:lang w:val="es-ES"/>
              </w:rPr>
              <w:t xml:space="preserve">0.122 </w:t>
            </w:r>
          </w:p>
        </w:tc>
        <w:tc>
          <w:tcPr>
            <w:tcW w:w="236" w:type="dxa"/>
            <w:tcBorders>
              <w:top w:val="nil"/>
              <w:left w:val="nil"/>
              <w:bottom w:val="nil"/>
              <w:right w:val="nil"/>
            </w:tcBorders>
            <w:shd w:val="clear" w:color="auto" w:fill="auto"/>
            <w:noWrap/>
          </w:tcPr>
          <w:p w14:paraId="264A862E" w14:textId="77777777" w:rsidR="006C65EF" w:rsidRPr="00941652" w:rsidRDefault="003F2308" w:rsidP="006C65EF">
            <w:pPr>
              <w:rPr>
                <w:sz w:val="22"/>
                <w:szCs w:val="22"/>
                <w:highlight w:val="yellow"/>
                <w:lang w:val="es-ES"/>
              </w:rPr>
            </w:pPr>
          </w:p>
        </w:tc>
        <w:tc>
          <w:tcPr>
            <w:tcW w:w="1470" w:type="dxa"/>
            <w:tcBorders>
              <w:top w:val="nil"/>
              <w:left w:val="nil"/>
              <w:bottom w:val="single" w:sz="4" w:space="0" w:color="auto"/>
              <w:right w:val="nil"/>
            </w:tcBorders>
          </w:tcPr>
          <w:p w14:paraId="140A6B94" w14:textId="77777777" w:rsidR="006C65EF" w:rsidRPr="00941652" w:rsidRDefault="00941652" w:rsidP="006C65EF">
            <w:pPr>
              <w:jc w:val="center"/>
              <w:rPr>
                <w:sz w:val="22"/>
                <w:szCs w:val="22"/>
                <w:highlight w:val="yellow"/>
                <w:lang w:val="es-ES"/>
              </w:rPr>
            </w:pPr>
            <w:r w:rsidRPr="00941652">
              <w:rPr>
                <w:bdr w:val="nil"/>
                <w:lang w:val="es-ES"/>
              </w:rPr>
              <w:t>0.6%</w:t>
            </w:r>
          </w:p>
        </w:tc>
        <w:tc>
          <w:tcPr>
            <w:tcW w:w="257" w:type="dxa"/>
            <w:tcBorders>
              <w:top w:val="nil"/>
              <w:left w:val="nil"/>
              <w:bottom w:val="nil"/>
              <w:right w:val="nil"/>
            </w:tcBorders>
          </w:tcPr>
          <w:p w14:paraId="6ECDD093" w14:textId="77777777" w:rsidR="006C65EF" w:rsidRPr="00941652" w:rsidRDefault="003F2308" w:rsidP="006C65EF">
            <w:pPr>
              <w:jc w:val="center"/>
              <w:rPr>
                <w:sz w:val="22"/>
                <w:szCs w:val="22"/>
                <w:lang w:val="es-ES"/>
              </w:rPr>
            </w:pPr>
          </w:p>
        </w:tc>
      </w:tr>
    </w:tbl>
    <w:p w14:paraId="48866FB8" w14:textId="77777777" w:rsidR="008D6909" w:rsidRPr="00941652" w:rsidRDefault="00941652" w:rsidP="00A23FBC">
      <w:pPr>
        <w:ind w:left="-1260" w:firstLine="1260"/>
        <w:rPr>
          <w:sz w:val="20"/>
          <w:lang w:val="es-ES"/>
        </w:rPr>
      </w:pPr>
      <w:r w:rsidRPr="00941652">
        <w:rPr>
          <w:sz w:val="20"/>
          <w:bdr w:val="nil"/>
          <w:vertAlign w:val="superscript"/>
          <w:lang w:val="es-ES"/>
        </w:rPr>
        <w:t xml:space="preserve"> 1 </w:t>
      </w:r>
      <w:r w:rsidRPr="00941652">
        <w:rPr>
          <w:sz w:val="20"/>
          <w:bdr w:val="nil"/>
          <w:lang w:val="es-ES"/>
        </w:rPr>
        <w:t>Tarifas en vigor el 3/1/17 conforme a la Carta de Aviso (AL) 3034-E.</w:t>
      </w:r>
    </w:p>
    <w:p w14:paraId="6878B903" w14:textId="77777777" w:rsidR="00472FB8" w:rsidRPr="00941652" w:rsidRDefault="00941652" w:rsidP="00A23FBC">
      <w:pPr>
        <w:ind w:left="-1260" w:firstLine="1260"/>
        <w:rPr>
          <w:lang w:val="es-ES"/>
        </w:rPr>
      </w:pPr>
      <w:r w:rsidRPr="00941652">
        <w:rPr>
          <w:sz w:val="20"/>
          <w:bdr w:val="nil"/>
          <w:vertAlign w:val="superscript"/>
          <w:lang w:val="es-ES"/>
        </w:rPr>
        <w:t xml:space="preserve"> 2 </w:t>
      </w:r>
      <w:r w:rsidRPr="00941652">
        <w:rPr>
          <w:sz w:val="20"/>
          <w:bdr w:val="nil"/>
          <w:lang w:val="es-ES"/>
        </w:rPr>
        <w:t>CeI significa Comercial e Industrial.</w:t>
      </w:r>
    </w:p>
    <w:p w14:paraId="7A5E99C1" w14:textId="77777777" w:rsidR="008A2931" w:rsidRPr="00941652" w:rsidRDefault="003F2308" w:rsidP="008A2931">
      <w:pPr>
        <w:pStyle w:val="BodyText"/>
        <w:jc w:val="center"/>
        <w:rPr>
          <w:b/>
          <w:szCs w:val="24"/>
          <w:lang w:val="es-ES"/>
        </w:rPr>
      </w:pPr>
    </w:p>
    <w:p w14:paraId="1A3D7003" w14:textId="77777777" w:rsidR="004F103A" w:rsidRPr="00941652" w:rsidRDefault="003F2308" w:rsidP="00A40F28">
      <w:pPr>
        <w:pStyle w:val="BodyText"/>
        <w:jc w:val="both"/>
        <w:rPr>
          <w:b/>
          <w:lang w:val="es-ES"/>
        </w:rPr>
      </w:pPr>
    </w:p>
    <w:p w14:paraId="41FECFF9" w14:textId="77777777" w:rsidR="00A23FBC" w:rsidRPr="00941652" w:rsidRDefault="00941652" w:rsidP="00A40F28">
      <w:pPr>
        <w:pStyle w:val="BodyText"/>
        <w:jc w:val="both"/>
        <w:rPr>
          <w:b/>
          <w:bCs/>
          <w:lang w:val="es-ES"/>
        </w:rPr>
      </w:pPr>
      <w:r w:rsidRPr="00941652">
        <w:rPr>
          <w:b/>
          <w:bCs/>
          <w:szCs w:val="24"/>
          <w:bdr w:val="nil"/>
          <w:lang w:val="es-ES"/>
        </w:rPr>
        <w:t>Para mayor información sobre estas propuestas, puede comunicarse a la línea de Servicio al Cliente de SDG&amp;E al 1-800-311-SDGE (7343).</w:t>
      </w:r>
    </w:p>
    <w:p w14:paraId="677D55BA" w14:textId="77777777" w:rsidR="00A23FBC" w:rsidRPr="00941652" w:rsidRDefault="003F2308" w:rsidP="00A40F28">
      <w:pPr>
        <w:pStyle w:val="BodyText"/>
        <w:jc w:val="both"/>
        <w:rPr>
          <w:b/>
          <w:bCs/>
          <w:lang w:val="es-ES"/>
        </w:rPr>
      </w:pPr>
    </w:p>
    <w:p w14:paraId="4E4EAB58" w14:textId="77777777" w:rsidR="00472FB8" w:rsidRPr="00941652" w:rsidRDefault="00941652" w:rsidP="00A40F28">
      <w:pPr>
        <w:pStyle w:val="BodyText"/>
        <w:jc w:val="both"/>
        <w:rPr>
          <w:b/>
          <w:bCs/>
          <w:lang w:val="es-ES"/>
        </w:rPr>
      </w:pPr>
      <w:r w:rsidRPr="00941652">
        <w:rPr>
          <w:b/>
          <w:bCs/>
          <w:szCs w:val="24"/>
          <w:bdr w:val="nil"/>
          <w:lang w:val="es-ES"/>
        </w:rPr>
        <w:t>PARA MÁS INFORMACIÓN</w:t>
      </w:r>
    </w:p>
    <w:p w14:paraId="3B102297" w14:textId="77777777" w:rsidR="00472FB8" w:rsidRPr="00941652" w:rsidRDefault="00941652" w:rsidP="0018116F">
      <w:pPr>
        <w:rPr>
          <w:lang w:val="es-ES"/>
        </w:rPr>
      </w:pPr>
      <w:r w:rsidRPr="00941652">
        <w:rPr>
          <w:bdr w:val="nil"/>
          <w:lang w:val="es-ES"/>
        </w:rPr>
        <w:t xml:space="preserve">Puede solicitar mayor información u obtener una copia de la solicitud y los anexos relacionados escribiendo a: Kellen Gill, San Diego Gas &amp; Electric Company, 8330 Century Park Court, San Diego, CA 92123. SDG&amp;E proporcionará una copia de esta solicitud previa solicitud. Se pueden revisar la solicitud y los anexos de SDG&amp;E en la Central Files Office de la CPUC, previa cita. Para más información, póngase en contacto con ellos escribiendo a </w:t>
      </w:r>
      <w:hyperlink r:id="rId7" w:history="1">
        <w:r w:rsidRPr="00941652">
          <w:rPr>
            <w:color w:val="0000FF"/>
            <w:u w:val="single"/>
            <w:bdr w:val="nil"/>
            <w:lang w:val="es-ES"/>
          </w:rPr>
          <w:t>aljcentralfilesid@cpuc.ca.gov</w:t>
        </w:r>
      </w:hyperlink>
      <w:r w:rsidRPr="00941652">
        <w:rPr>
          <w:bdr w:val="nil"/>
          <w:lang w:val="es-ES"/>
        </w:rPr>
        <w:t xml:space="preserve"> o llamando al (415) 703-2045.</w:t>
      </w:r>
      <w:r w:rsidR="00FB5976" w:rsidRPr="00941652">
        <w:rPr>
          <w:lang w:val="es-ES"/>
        </w:rPr>
        <w:t xml:space="preserve"> </w:t>
      </w:r>
      <w:r w:rsidR="00FB5976" w:rsidRPr="00941652">
        <w:rPr>
          <w:bdr w:val="nil"/>
          <w:lang w:val="es-ES"/>
        </w:rPr>
        <w:t>Una copia de esta solicitud puede inspeccionarse en las siguientes oficinas comerciales de SDG&amp;E</w:t>
      </w:r>
      <w:r w:rsidR="00C5535E" w:rsidRPr="00941652">
        <w:rPr>
          <w:lang w:val="es-ES"/>
        </w:rPr>
        <w:t>:</w:t>
      </w:r>
    </w:p>
    <w:p w14:paraId="750BC99A" w14:textId="77777777" w:rsidR="00472FB8" w:rsidRPr="00941652" w:rsidRDefault="003F2308">
      <w:pPr>
        <w:rPr>
          <w:lang w:val="es-ES"/>
        </w:rPr>
      </w:pPr>
    </w:p>
    <w:tbl>
      <w:tblPr>
        <w:tblW w:w="0" w:type="auto"/>
        <w:tblLayout w:type="fixed"/>
        <w:tblLook w:val="0000" w:firstRow="0" w:lastRow="0" w:firstColumn="0" w:lastColumn="0" w:noHBand="0" w:noVBand="0"/>
      </w:tblPr>
      <w:tblGrid>
        <w:gridCol w:w="2952"/>
        <w:gridCol w:w="2952"/>
        <w:gridCol w:w="2952"/>
      </w:tblGrid>
      <w:tr w:rsidR="00B74E1D" w:rsidRPr="00941652" w14:paraId="3EBC1EE5" w14:textId="77777777">
        <w:tc>
          <w:tcPr>
            <w:tcW w:w="2952" w:type="dxa"/>
            <w:tcBorders>
              <w:top w:val="nil"/>
              <w:left w:val="nil"/>
              <w:bottom w:val="nil"/>
              <w:right w:val="nil"/>
            </w:tcBorders>
          </w:tcPr>
          <w:p w14:paraId="60421579" w14:textId="77777777" w:rsidR="00472FB8" w:rsidRPr="00941652" w:rsidRDefault="00941652">
            <w:pPr>
              <w:rPr>
                <w:lang w:val="es-ES"/>
              </w:rPr>
            </w:pPr>
            <w:r w:rsidRPr="00941652">
              <w:rPr>
                <w:bdr w:val="nil"/>
                <w:lang w:val="es-ES"/>
              </w:rPr>
              <w:t>436 H St.</w:t>
            </w:r>
          </w:p>
          <w:p w14:paraId="623EBEF6" w14:textId="77777777" w:rsidR="00472FB8" w:rsidRPr="00941652" w:rsidRDefault="00941652">
            <w:pPr>
              <w:rPr>
                <w:lang w:val="es-ES"/>
              </w:rPr>
            </w:pPr>
            <w:r w:rsidRPr="00941652">
              <w:rPr>
                <w:bdr w:val="nil"/>
                <w:lang w:val="es-ES"/>
              </w:rPr>
              <w:t>Chula Vista, CA 91910</w:t>
            </w:r>
          </w:p>
          <w:p w14:paraId="1C30D4D0" w14:textId="77777777" w:rsidR="00472FB8" w:rsidRPr="00941652" w:rsidRDefault="003F2308">
            <w:pPr>
              <w:rPr>
                <w:lang w:val="es-ES"/>
              </w:rPr>
            </w:pPr>
          </w:p>
          <w:p w14:paraId="1860E331" w14:textId="77777777" w:rsidR="00472FB8" w:rsidRPr="00941652" w:rsidRDefault="00941652">
            <w:pPr>
              <w:rPr>
                <w:lang w:val="es-ES"/>
              </w:rPr>
            </w:pPr>
            <w:r w:rsidRPr="00941652">
              <w:rPr>
                <w:bdr w:val="nil"/>
                <w:lang w:val="es-ES"/>
              </w:rPr>
              <w:t>2405 E. Plaza Blvd.</w:t>
            </w:r>
          </w:p>
          <w:p w14:paraId="57F8880B" w14:textId="77777777" w:rsidR="00472FB8" w:rsidRPr="00941652" w:rsidRDefault="00941652">
            <w:pPr>
              <w:rPr>
                <w:lang w:val="es-ES"/>
              </w:rPr>
            </w:pPr>
            <w:r w:rsidRPr="00941652">
              <w:rPr>
                <w:bdr w:val="nil"/>
                <w:lang w:val="es-ES"/>
              </w:rPr>
              <w:t>National City, CA 91950</w:t>
            </w:r>
          </w:p>
          <w:p w14:paraId="74880581" w14:textId="77777777" w:rsidR="00472FB8" w:rsidRPr="00941652" w:rsidRDefault="003F2308">
            <w:pPr>
              <w:rPr>
                <w:lang w:val="es-ES"/>
              </w:rPr>
            </w:pPr>
          </w:p>
          <w:p w14:paraId="21481B34" w14:textId="77777777" w:rsidR="00472FB8" w:rsidRPr="00941652" w:rsidRDefault="00941652">
            <w:pPr>
              <w:rPr>
                <w:lang w:val="es-ES"/>
              </w:rPr>
            </w:pPr>
            <w:r w:rsidRPr="00941652">
              <w:rPr>
                <w:bdr w:val="nil"/>
                <w:lang w:val="es-ES"/>
              </w:rPr>
              <w:t>440 Beech St.</w:t>
            </w:r>
          </w:p>
          <w:p w14:paraId="66485EBF" w14:textId="77777777" w:rsidR="00472FB8" w:rsidRPr="00941652" w:rsidRDefault="00941652">
            <w:pPr>
              <w:rPr>
                <w:lang w:val="es-ES"/>
              </w:rPr>
            </w:pPr>
            <w:r w:rsidRPr="00941652">
              <w:rPr>
                <w:bdr w:val="nil"/>
                <w:lang w:val="es-ES"/>
              </w:rPr>
              <w:t>San Diego, CA 92101</w:t>
            </w:r>
          </w:p>
        </w:tc>
        <w:tc>
          <w:tcPr>
            <w:tcW w:w="2952" w:type="dxa"/>
            <w:tcBorders>
              <w:top w:val="nil"/>
              <w:left w:val="nil"/>
              <w:bottom w:val="nil"/>
              <w:right w:val="nil"/>
            </w:tcBorders>
          </w:tcPr>
          <w:p w14:paraId="0167C2D2" w14:textId="77777777" w:rsidR="00472FB8" w:rsidRPr="00941652" w:rsidRDefault="00941652">
            <w:pPr>
              <w:rPr>
                <w:lang w:val="es-ES"/>
              </w:rPr>
            </w:pPr>
            <w:r w:rsidRPr="00941652">
              <w:rPr>
                <w:bdr w:val="nil"/>
                <w:lang w:val="es-ES"/>
              </w:rPr>
              <w:t>104 N. Johnson Ave.</w:t>
            </w:r>
          </w:p>
          <w:p w14:paraId="04A9A851" w14:textId="77777777" w:rsidR="00472FB8" w:rsidRPr="00941652" w:rsidRDefault="00941652">
            <w:pPr>
              <w:rPr>
                <w:lang w:val="es-ES"/>
              </w:rPr>
            </w:pPr>
            <w:r w:rsidRPr="00941652">
              <w:rPr>
                <w:bdr w:val="nil"/>
                <w:lang w:val="es-ES"/>
              </w:rPr>
              <w:t>El Cajon, CA 92020</w:t>
            </w:r>
          </w:p>
          <w:p w14:paraId="7BAADD7A" w14:textId="77777777" w:rsidR="00472FB8" w:rsidRPr="00941652" w:rsidRDefault="003F2308">
            <w:pPr>
              <w:rPr>
                <w:lang w:val="es-ES"/>
              </w:rPr>
            </w:pPr>
          </w:p>
          <w:p w14:paraId="64FF838B" w14:textId="77777777" w:rsidR="00472FB8" w:rsidRPr="00941652" w:rsidRDefault="00941652">
            <w:pPr>
              <w:rPr>
                <w:lang w:val="es-ES"/>
              </w:rPr>
            </w:pPr>
            <w:r w:rsidRPr="00941652">
              <w:rPr>
                <w:bdr w:val="nil"/>
                <w:lang w:val="es-ES"/>
              </w:rPr>
              <w:t>336 Euclid Ave.</w:t>
            </w:r>
          </w:p>
          <w:p w14:paraId="39664D94" w14:textId="77777777" w:rsidR="00472FB8" w:rsidRPr="00941652" w:rsidRDefault="00941652">
            <w:pPr>
              <w:rPr>
                <w:lang w:val="es-ES"/>
              </w:rPr>
            </w:pPr>
            <w:r w:rsidRPr="00941652">
              <w:rPr>
                <w:bdr w:val="nil"/>
                <w:lang w:val="es-ES"/>
              </w:rPr>
              <w:t>San Diego, CA 92114</w:t>
            </w:r>
          </w:p>
          <w:p w14:paraId="24BAF7B1" w14:textId="77777777" w:rsidR="00472FB8" w:rsidRPr="00941652" w:rsidRDefault="003F2308">
            <w:pPr>
              <w:rPr>
                <w:lang w:val="es-ES"/>
              </w:rPr>
            </w:pPr>
          </w:p>
          <w:p w14:paraId="33BCFB5F" w14:textId="77777777" w:rsidR="00472FB8" w:rsidRPr="00941652" w:rsidRDefault="003F2308">
            <w:pPr>
              <w:rPr>
                <w:lang w:val="es-ES"/>
              </w:rPr>
            </w:pPr>
          </w:p>
        </w:tc>
        <w:tc>
          <w:tcPr>
            <w:tcW w:w="2952" w:type="dxa"/>
            <w:tcBorders>
              <w:top w:val="nil"/>
              <w:left w:val="nil"/>
              <w:bottom w:val="nil"/>
              <w:right w:val="nil"/>
            </w:tcBorders>
          </w:tcPr>
          <w:p w14:paraId="74043C95" w14:textId="77777777" w:rsidR="00472FB8" w:rsidRPr="00941652" w:rsidRDefault="00941652">
            <w:pPr>
              <w:rPr>
                <w:lang w:val="es-ES"/>
              </w:rPr>
            </w:pPr>
            <w:r w:rsidRPr="00941652">
              <w:rPr>
                <w:bdr w:val="nil"/>
                <w:lang w:val="es-ES"/>
              </w:rPr>
              <w:t>644 W. Mission Ave.</w:t>
            </w:r>
          </w:p>
          <w:p w14:paraId="61950E7F" w14:textId="77777777" w:rsidR="00472FB8" w:rsidRPr="00941652" w:rsidRDefault="00941652">
            <w:pPr>
              <w:rPr>
                <w:lang w:val="es-ES"/>
              </w:rPr>
            </w:pPr>
            <w:r w:rsidRPr="00941652">
              <w:rPr>
                <w:bdr w:val="nil"/>
                <w:lang w:val="es-ES"/>
              </w:rPr>
              <w:t>Escondido, CA 92025</w:t>
            </w:r>
          </w:p>
          <w:p w14:paraId="2E5A0D68" w14:textId="77777777" w:rsidR="00472FB8" w:rsidRPr="00941652" w:rsidRDefault="003F2308">
            <w:pPr>
              <w:rPr>
                <w:lang w:val="es-ES"/>
              </w:rPr>
            </w:pPr>
          </w:p>
          <w:p w14:paraId="4FC11E81" w14:textId="77777777" w:rsidR="00472FB8" w:rsidRPr="00941652" w:rsidRDefault="003F2308">
            <w:pPr>
              <w:rPr>
                <w:lang w:val="es-ES"/>
              </w:rPr>
            </w:pPr>
          </w:p>
        </w:tc>
      </w:tr>
    </w:tbl>
    <w:p w14:paraId="51F9FD79" w14:textId="77777777" w:rsidR="00472FB8" w:rsidRPr="00941652" w:rsidRDefault="003F2308">
      <w:pPr>
        <w:rPr>
          <w:lang w:val="es-ES"/>
        </w:rPr>
      </w:pPr>
    </w:p>
    <w:p w14:paraId="7E7DF354" w14:textId="77777777" w:rsidR="00472FB8" w:rsidRPr="00941652" w:rsidRDefault="00941652" w:rsidP="0018116F">
      <w:pPr>
        <w:rPr>
          <w:lang w:val="es-ES"/>
        </w:rPr>
      </w:pPr>
      <w:r w:rsidRPr="00941652">
        <w:rPr>
          <w:bdr w:val="nil"/>
          <w:lang w:val="es-ES"/>
        </w:rPr>
        <w:lastRenderedPageBreak/>
        <w:t xml:space="preserve">La solicitud y los anexos relacionados también puede encontrarlos electrónicamente en el sitio web de SDG&amp;E en </w:t>
      </w:r>
      <w:hyperlink r:id="rId8" w:history="1">
        <w:r w:rsidRPr="00941652">
          <w:rPr>
            <w:color w:val="0000FF"/>
            <w:u w:val="single"/>
            <w:bdr w:val="nil"/>
            <w:lang w:val="es-ES"/>
          </w:rPr>
          <w:t>www.sdge.com/regulatory/cpuc.shtml</w:t>
        </w:r>
      </w:hyperlink>
      <w:r w:rsidRPr="00941652">
        <w:rPr>
          <w:bdr w:val="nil"/>
          <w:lang w:val="es-ES"/>
        </w:rPr>
        <w:t>.</w:t>
      </w:r>
    </w:p>
    <w:p w14:paraId="40ECDEB1" w14:textId="77777777" w:rsidR="00FB1785" w:rsidRPr="00941652" w:rsidRDefault="003F2308" w:rsidP="0018116F">
      <w:pPr>
        <w:rPr>
          <w:lang w:val="es-ES"/>
        </w:rPr>
      </w:pPr>
    </w:p>
    <w:p w14:paraId="5A280BD5" w14:textId="77777777" w:rsidR="00472FB8" w:rsidRPr="00941652" w:rsidRDefault="003F2308" w:rsidP="0018116F">
      <w:pPr>
        <w:rPr>
          <w:lang w:val="es-ES"/>
        </w:rPr>
      </w:pPr>
    </w:p>
    <w:p w14:paraId="4D5ADAEC" w14:textId="77777777" w:rsidR="00472FB8" w:rsidRPr="00941652" w:rsidRDefault="00941652" w:rsidP="0018116F">
      <w:pPr>
        <w:rPr>
          <w:lang w:val="es-ES"/>
        </w:rPr>
      </w:pPr>
      <w:r w:rsidRPr="00941652">
        <w:rPr>
          <w:bdr w:val="nil"/>
          <w:lang w:val="es-ES"/>
        </w:rPr>
        <w:t xml:space="preserve">Habrá copias de este encarte de factura para su consulta e impresión en el sitio web de SDG&amp;E en </w:t>
      </w:r>
      <w:hyperlink r:id="rId9" w:history="1">
        <w:r w:rsidRPr="00941652">
          <w:rPr>
            <w:color w:val="0000FF"/>
            <w:u w:val="single"/>
            <w:bdr w:val="nil"/>
            <w:lang w:val="es-ES"/>
          </w:rPr>
          <w:t>www.sdge.com/billinserts/regulatory.shtml</w:t>
        </w:r>
      </w:hyperlink>
      <w:r w:rsidRPr="00941652">
        <w:rPr>
          <w:bdr w:val="nil"/>
          <w:lang w:val="es-ES"/>
        </w:rPr>
        <w:t>.</w:t>
      </w:r>
    </w:p>
    <w:p w14:paraId="318D62D5" w14:textId="77777777" w:rsidR="00472FB8" w:rsidRPr="00941652" w:rsidRDefault="003F2308" w:rsidP="0018116F">
      <w:pPr>
        <w:rPr>
          <w:lang w:val="es-ES"/>
        </w:rPr>
      </w:pPr>
    </w:p>
    <w:p w14:paraId="181549B7" w14:textId="77777777" w:rsidR="00DB2DA1" w:rsidRPr="00941652" w:rsidRDefault="003F2308" w:rsidP="00FD4690">
      <w:pPr>
        <w:pStyle w:val="BodyText"/>
        <w:rPr>
          <w:b/>
          <w:bCs/>
          <w:lang w:val="es-ES"/>
        </w:rPr>
      </w:pPr>
    </w:p>
    <w:p w14:paraId="03B9BE23" w14:textId="77777777" w:rsidR="00DB2DA1" w:rsidRPr="00941652" w:rsidRDefault="003F2308" w:rsidP="00FD4690">
      <w:pPr>
        <w:pStyle w:val="BodyText"/>
        <w:rPr>
          <w:b/>
          <w:bCs/>
          <w:lang w:val="es-ES"/>
        </w:rPr>
      </w:pPr>
    </w:p>
    <w:p w14:paraId="07BFF13A" w14:textId="77777777" w:rsidR="00FD4690" w:rsidRPr="00941652" w:rsidRDefault="00941652" w:rsidP="00FD4690">
      <w:pPr>
        <w:pStyle w:val="BodyText"/>
        <w:rPr>
          <w:b/>
          <w:bCs/>
          <w:lang w:val="es-ES"/>
        </w:rPr>
      </w:pPr>
      <w:r w:rsidRPr="00941652">
        <w:rPr>
          <w:b/>
          <w:bCs/>
          <w:szCs w:val="24"/>
          <w:bdr w:val="nil"/>
          <w:lang w:val="es-ES"/>
        </w:rPr>
        <w:t xml:space="preserve">PROCESO DE LA CPUC </w:t>
      </w:r>
    </w:p>
    <w:p w14:paraId="6995ED7F" w14:textId="77777777" w:rsidR="00FD4690" w:rsidRPr="00941652" w:rsidRDefault="00941652" w:rsidP="00FD4690">
      <w:pPr>
        <w:rPr>
          <w:lang w:val="es-ES"/>
        </w:rPr>
      </w:pPr>
      <w:r w:rsidRPr="00941652">
        <w:rPr>
          <w:bdr w:val="nil"/>
          <w:lang w:val="es-ES"/>
        </w:rPr>
        <w:t xml:space="preserve">La presente solicitud será asignada a un Juez de Derecho Administrativo (Juez) quien determinará cómo se recibirán las pruebas y otros documentos relacionados, necesarios para que la CPUC establezca un acta en la que basará su decisión. Las audiencias para la presentación de pruebas pueden llevarse a cabo en donde las partes que aparecen en el acta presentarán su testimonio y pueden estar sujetas a un contrainterrogatorio por otras de las partes. Estas audiencias para la presentación de pruebas están abiertas al público, pero sólo las partes que aparecen en el acta pueden participar. </w:t>
      </w:r>
    </w:p>
    <w:p w14:paraId="37C52084" w14:textId="77777777" w:rsidR="00FD4690" w:rsidRPr="00941652" w:rsidRDefault="003F2308" w:rsidP="00FD4690">
      <w:pPr>
        <w:rPr>
          <w:lang w:val="es-ES"/>
        </w:rPr>
      </w:pPr>
    </w:p>
    <w:p w14:paraId="207D39B4" w14:textId="77777777" w:rsidR="00FD4690" w:rsidRPr="00941652" w:rsidRDefault="00941652" w:rsidP="00FD4690">
      <w:pPr>
        <w:rPr>
          <w:lang w:val="es-ES"/>
        </w:rPr>
      </w:pPr>
      <w:r w:rsidRPr="00941652">
        <w:rPr>
          <w:bdr w:val="nil"/>
          <w:lang w:val="es-ES"/>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7F1B6862" w14:textId="77777777" w:rsidR="00FD4690" w:rsidRPr="00941652" w:rsidRDefault="003F2308" w:rsidP="00FD4690">
      <w:pPr>
        <w:rPr>
          <w:lang w:val="es-ES"/>
        </w:rPr>
      </w:pPr>
    </w:p>
    <w:p w14:paraId="59806811" w14:textId="77777777" w:rsidR="00FD4690" w:rsidRPr="00941652" w:rsidRDefault="00941652" w:rsidP="00FD4690">
      <w:pPr>
        <w:rPr>
          <w:lang w:val="es-ES"/>
        </w:rPr>
      </w:pPr>
      <w:r w:rsidRPr="00941652">
        <w:rPr>
          <w:bdr w:val="nil"/>
          <w:lang w:val="es-ES"/>
        </w:rPr>
        <w:t>Como una de las partes que aparecen en el acta, la Oficina de Defensores del Contribuyente (ORA) examinará esta solicitud. ORA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ORA cuenta con un personal multidisciplinario con pericia en economía, finanzas, contabilidad e ingeniería. Para más información sobre ORA, por favor llame al (415) 703-1584, envíe un mensaje por correo electrónico a ora@cpuc.ca.gov o visite el sitio web de ORA en www.ora.ca.gov.</w:t>
      </w:r>
    </w:p>
    <w:p w14:paraId="2E2546BE" w14:textId="77777777" w:rsidR="00FD4690" w:rsidRPr="00941652" w:rsidRDefault="003F2308" w:rsidP="00FD4690">
      <w:pPr>
        <w:rPr>
          <w:lang w:val="es-ES"/>
        </w:rPr>
      </w:pPr>
    </w:p>
    <w:p w14:paraId="6717B672" w14:textId="77777777" w:rsidR="00FD4690" w:rsidRPr="00941652" w:rsidRDefault="00941652" w:rsidP="00FD4690">
      <w:pPr>
        <w:rPr>
          <w:b/>
          <w:lang w:val="es-ES"/>
        </w:rPr>
      </w:pPr>
      <w:r w:rsidRPr="00941652">
        <w:rPr>
          <w:b/>
          <w:bCs/>
          <w:bdr w:val="nil"/>
          <w:lang w:val="es-ES"/>
        </w:rPr>
        <w:t>MANTÉNGASE INFORMADO</w:t>
      </w:r>
    </w:p>
    <w:p w14:paraId="13BF21F0" w14:textId="77777777" w:rsidR="00FD4690" w:rsidRPr="00941652" w:rsidRDefault="00941652" w:rsidP="00FD4690">
      <w:pPr>
        <w:rPr>
          <w:lang w:val="es-ES"/>
        </w:rPr>
      </w:pPr>
      <w:r w:rsidRPr="00941652">
        <w:rPr>
          <w:bdr w:val="nil"/>
          <w:lang w:val="es-ES"/>
        </w:rPr>
        <w:t xml:space="preserve">Si desea seguir este procedimiento, o cualquier otro asunto presentado ante la CPUC, puede utilizar el servicio de suscripción gratuito de la CPUC. Suscríbase en: </w:t>
      </w:r>
      <w:hyperlink r:id="rId10" w:history="1">
        <w:r w:rsidRPr="00941652">
          <w:rPr>
            <w:color w:val="0000FF"/>
            <w:u w:val="single"/>
            <w:bdr w:val="nil"/>
            <w:lang w:val="es-ES"/>
          </w:rPr>
          <w:t>http://subscribecpuc.cpuc.ca.gov/</w:t>
        </w:r>
      </w:hyperlink>
      <w:r w:rsidRPr="00941652">
        <w:rPr>
          <w:bdr w:val="nil"/>
          <w:lang w:val="es-ES"/>
        </w:rPr>
        <w:t>.</w:t>
      </w:r>
    </w:p>
    <w:p w14:paraId="2685A498" w14:textId="77777777" w:rsidR="006F571F" w:rsidRPr="00941652" w:rsidRDefault="003F2308" w:rsidP="00FD4690">
      <w:pPr>
        <w:rPr>
          <w:lang w:val="es-ES"/>
        </w:rPr>
      </w:pPr>
    </w:p>
    <w:p w14:paraId="70081BBB" w14:textId="77777777" w:rsidR="00FD4690" w:rsidRPr="00941652" w:rsidRDefault="00941652" w:rsidP="00FD4690">
      <w:pPr>
        <w:rPr>
          <w:lang w:val="es-ES"/>
        </w:rPr>
      </w:pPr>
      <w:r w:rsidRPr="00941652">
        <w:rPr>
          <w:bdr w:val="nil"/>
          <w:lang w:val="es-ES"/>
        </w:rPr>
        <w:t xml:space="preserve">Si quiere obtener información sobre cómo puede participar en el procedimiento, o si tiene comentarios informales o preguntas sobre los procesos de la CPUC, puede entrar a la página web del Asesor Público (Public Advisor) de la CPUC en </w:t>
      </w:r>
      <w:hyperlink r:id="rId11" w:history="1">
        <w:r w:rsidRPr="00941652">
          <w:rPr>
            <w:color w:val="0000FF"/>
            <w:u w:val="single"/>
            <w:bdr w:val="nil"/>
            <w:lang w:val="es-ES"/>
          </w:rPr>
          <w:t>http://consumers.cpuc.ca.gov/pao/</w:t>
        </w:r>
      </w:hyperlink>
      <w:r w:rsidRPr="00941652">
        <w:rPr>
          <w:bdr w:val="nil"/>
          <w:lang w:val="es-ES"/>
        </w:rPr>
        <w:t xml:space="preserve">. También puede ponerse en contacto con el Asesor Público de la siguiente manera: </w:t>
      </w:r>
    </w:p>
    <w:p w14:paraId="021CBDD6" w14:textId="77777777" w:rsidR="00FD4690" w:rsidRPr="00941652" w:rsidRDefault="003F2308" w:rsidP="00FD4690">
      <w:pPr>
        <w:rPr>
          <w:lang w:val="es-ES"/>
        </w:rPr>
      </w:pPr>
    </w:p>
    <w:p w14:paraId="23AB799C" w14:textId="77777777" w:rsidR="00FD4690" w:rsidRPr="00941652" w:rsidRDefault="00941652" w:rsidP="00FD4690">
      <w:pPr>
        <w:rPr>
          <w:lang w:val="es-ES"/>
        </w:rPr>
      </w:pPr>
      <w:r w:rsidRPr="00941652">
        <w:rPr>
          <w:bdr w:val="nil"/>
          <w:lang w:val="es-ES"/>
        </w:rPr>
        <w:t xml:space="preserve">Envíe un mensaje por correo electrónico a: public.advisor@cpuc.ca.gov </w:t>
      </w:r>
    </w:p>
    <w:p w14:paraId="0465185D" w14:textId="77777777" w:rsidR="00FD4690" w:rsidRPr="00941652" w:rsidRDefault="003F2308" w:rsidP="00FD4690">
      <w:pPr>
        <w:rPr>
          <w:lang w:val="es-ES"/>
        </w:rPr>
      </w:pPr>
    </w:p>
    <w:p w14:paraId="3564653A" w14:textId="77777777" w:rsidR="00ED4071" w:rsidRPr="00941652" w:rsidRDefault="00ED4071">
      <w:pPr>
        <w:rPr>
          <w:bdr w:val="nil"/>
          <w:lang w:val="es-ES"/>
        </w:rPr>
      </w:pPr>
      <w:r w:rsidRPr="00941652">
        <w:rPr>
          <w:bdr w:val="nil"/>
          <w:lang w:val="es-ES"/>
        </w:rPr>
        <w:br w:type="page"/>
      </w:r>
    </w:p>
    <w:p w14:paraId="678C39CF" w14:textId="77777777" w:rsidR="006F571F" w:rsidRPr="00941652" w:rsidRDefault="00941652" w:rsidP="00FD4690">
      <w:pPr>
        <w:rPr>
          <w:lang w:val="es-ES"/>
        </w:rPr>
      </w:pPr>
      <w:r w:rsidRPr="00941652">
        <w:rPr>
          <w:bdr w:val="nil"/>
          <w:lang w:val="es-ES"/>
        </w:rPr>
        <w:lastRenderedPageBreak/>
        <w:t>Escriba a:</w:t>
      </w:r>
      <w:r w:rsidRPr="00941652">
        <w:rPr>
          <w:bdr w:val="nil"/>
          <w:lang w:val="es-ES"/>
        </w:rPr>
        <w:tab/>
        <w:t xml:space="preserve">CPUC </w:t>
      </w:r>
    </w:p>
    <w:p w14:paraId="0992AEF1" w14:textId="77777777" w:rsidR="00FD4690" w:rsidRPr="00941652" w:rsidRDefault="00941652" w:rsidP="00FD4690">
      <w:pPr>
        <w:rPr>
          <w:lang w:val="es-ES"/>
        </w:rPr>
      </w:pPr>
      <w:r w:rsidRPr="00941652">
        <w:rPr>
          <w:bdr w:val="nil"/>
          <w:lang w:val="es-ES"/>
        </w:rPr>
        <w:t xml:space="preserve">      </w:t>
      </w:r>
      <w:r w:rsidR="00ED4071" w:rsidRPr="00941652">
        <w:rPr>
          <w:bdr w:val="nil"/>
          <w:lang w:val="es-ES"/>
        </w:rPr>
        <w:tab/>
      </w:r>
      <w:r w:rsidR="00ED4071" w:rsidRPr="00941652">
        <w:rPr>
          <w:bdr w:val="nil"/>
          <w:lang w:val="es-ES"/>
        </w:rPr>
        <w:tab/>
      </w:r>
      <w:r w:rsidRPr="00941652">
        <w:rPr>
          <w:bdr w:val="nil"/>
          <w:lang w:val="es-ES"/>
        </w:rPr>
        <w:t>Public Advisor’s Office</w:t>
      </w:r>
    </w:p>
    <w:p w14:paraId="5B4E06E0" w14:textId="77777777" w:rsidR="00FD4690" w:rsidRPr="00941652" w:rsidRDefault="00941652" w:rsidP="00ED4071">
      <w:pPr>
        <w:ind w:left="720" w:firstLine="720"/>
        <w:rPr>
          <w:lang w:val="es-ES"/>
        </w:rPr>
      </w:pPr>
      <w:r w:rsidRPr="00941652">
        <w:rPr>
          <w:bdr w:val="nil"/>
          <w:lang w:val="es-ES"/>
        </w:rPr>
        <w:t>505 Van Ness Ave.</w:t>
      </w:r>
    </w:p>
    <w:p w14:paraId="5B6AA979" w14:textId="77777777" w:rsidR="00FD4690" w:rsidRPr="00941652" w:rsidRDefault="00941652" w:rsidP="00FD4690">
      <w:pPr>
        <w:rPr>
          <w:lang w:val="es-ES"/>
        </w:rPr>
      </w:pPr>
      <w:r w:rsidRPr="00941652">
        <w:rPr>
          <w:bdr w:val="nil"/>
          <w:lang w:val="es-ES"/>
        </w:rPr>
        <w:tab/>
      </w:r>
      <w:r w:rsidR="00ED4071" w:rsidRPr="00941652">
        <w:rPr>
          <w:bdr w:val="nil"/>
          <w:lang w:val="es-ES"/>
        </w:rPr>
        <w:tab/>
      </w:r>
      <w:r w:rsidRPr="00941652">
        <w:rPr>
          <w:bdr w:val="nil"/>
          <w:lang w:val="es-ES"/>
        </w:rPr>
        <w:t>San Francisco, CA 94102</w:t>
      </w:r>
    </w:p>
    <w:p w14:paraId="25F46897" w14:textId="77777777" w:rsidR="00FD4690" w:rsidRPr="00941652" w:rsidRDefault="00941652" w:rsidP="00FD4690">
      <w:pPr>
        <w:rPr>
          <w:lang w:val="es-ES"/>
        </w:rPr>
      </w:pPr>
      <w:r w:rsidRPr="00941652">
        <w:rPr>
          <w:bdr w:val="nil"/>
          <w:lang w:val="es-ES"/>
        </w:rPr>
        <w:t xml:space="preserve">Llame al: </w:t>
      </w:r>
      <w:r w:rsidRPr="00941652">
        <w:rPr>
          <w:bdr w:val="nil"/>
          <w:lang w:val="es-ES"/>
        </w:rPr>
        <w:tab/>
        <w:t>1-866-849-8390 (sin costo) o al 1-415-703-2074</w:t>
      </w:r>
    </w:p>
    <w:p w14:paraId="2C5D3655" w14:textId="77777777" w:rsidR="00472FB8" w:rsidRPr="00941652" w:rsidRDefault="00941652" w:rsidP="00A40F28">
      <w:pPr>
        <w:pStyle w:val="BodyText"/>
        <w:jc w:val="both"/>
        <w:rPr>
          <w:lang w:val="es-ES"/>
        </w:rPr>
      </w:pPr>
      <w:r w:rsidRPr="00941652">
        <w:rPr>
          <w:szCs w:val="24"/>
          <w:bdr w:val="nil"/>
          <w:lang w:val="es-ES"/>
        </w:rPr>
        <w:tab/>
      </w:r>
      <w:r w:rsidR="00ED4071" w:rsidRPr="00941652">
        <w:rPr>
          <w:szCs w:val="24"/>
          <w:bdr w:val="nil"/>
          <w:lang w:val="es-ES"/>
        </w:rPr>
        <w:tab/>
      </w:r>
      <w:r w:rsidRPr="00941652">
        <w:rPr>
          <w:szCs w:val="24"/>
          <w:bdr w:val="nil"/>
          <w:lang w:val="es-ES"/>
        </w:rPr>
        <w:t>TTY 1-866-836-7825 (sin costo) o 1-415-703-5282</w:t>
      </w:r>
    </w:p>
    <w:p w14:paraId="0EFA2DAE" w14:textId="77777777" w:rsidR="006F571F" w:rsidRPr="00941652" w:rsidRDefault="003F2308" w:rsidP="00A40F28">
      <w:pPr>
        <w:pStyle w:val="BodyText"/>
        <w:jc w:val="both"/>
        <w:rPr>
          <w:lang w:val="es-ES"/>
        </w:rPr>
      </w:pPr>
    </w:p>
    <w:p w14:paraId="2EB714AC" w14:textId="77777777" w:rsidR="006F571F" w:rsidRPr="00941652" w:rsidRDefault="00941652" w:rsidP="00DB2DA1">
      <w:pPr>
        <w:pStyle w:val="BodyText"/>
        <w:rPr>
          <w:lang w:val="es-ES"/>
        </w:rPr>
      </w:pPr>
      <w:r w:rsidRPr="00941652">
        <w:rPr>
          <w:bdr w:val="nil"/>
          <w:lang w:val="es-ES"/>
        </w:rPr>
        <w:t>Por favor haga referencia a Electric Resource Contracts - Local Capacity Requirement Application No. A.17-04-017 de SDG&amp;E en cualesquiera comunicaciones que sostenga con la CPUC en relación con este asunto. Todos los comentarios públicos se volverán parte del expediente de correspondencia pública de este procedimiento y se pondrán a disposición del Juez asignado, los Comisionados y el personal pertinente de la CPUC para su revisión.</w:t>
      </w:r>
    </w:p>
    <w:sectPr w:rsidR="006F571F" w:rsidRPr="00941652" w:rsidSect="00A40F28">
      <w:pgSz w:w="12240" w:h="15840"/>
      <w:pgMar w:top="1008" w:right="172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B1CC1"/>
    <w:multiLevelType w:val="hybridMultilevel"/>
    <w:tmpl w:val="C08C2BCA"/>
    <w:lvl w:ilvl="0" w:tplc="4560D22A">
      <w:start w:val="1"/>
      <w:numFmt w:val="decimal"/>
      <w:lvlText w:val="%1."/>
      <w:lvlJc w:val="left"/>
      <w:pPr>
        <w:ind w:left="720" w:hanging="360"/>
      </w:pPr>
      <w:rPr>
        <w:rFonts w:hint="default"/>
      </w:rPr>
    </w:lvl>
    <w:lvl w:ilvl="1" w:tplc="261E94D4" w:tentative="1">
      <w:start w:val="1"/>
      <w:numFmt w:val="lowerLetter"/>
      <w:lvlText w:val="%2."/>
      <w:lvlJc w:val="left"/>
      <w:pPr>
        <w:ind w:left="1440" w:hanging="360"/>
      </w:pPr>
    </w:lvl>
    <w:lvl w:ilvl="2" w:tplc="37E01308" w:tentative="1">
      <w:start w:val="1"/>
      <w:numFmt w:val="lowerRoman"/>
      <w:lvlText w:val="%3."/>
      <w:lvlJc w:val="right"/>
      <w:pPr>
        <w:ind w:left="2160" w:hanging="180"/>
      </w:pPr>
    </w:lvl>
    <w:lvl w:ilvl="3" w:tplc="5700EB66" w:tentative="1">
      <w:start w:val="1"/>
      <w:numFmt w:val="decimal"/>
      <w:lvlText w:val="%4."/>
      <w:lvlJc w:val="left"/>
      <w:pPr>
        <w:ind w:left="2880" w:hanging="360"/>
      </w:pPr>
    </w:lvl>
    <w:lvl w:ilvl="4" w:tplc="2B4A165E" w:tentative="1">
      <w:start w:val="1"/>
      <w:numFmt w:val="lowerLetter"/>
      <w:lvlText w:val="%5."/>
      <w:lvlJc w:val="left"/>
      <w:pPr>
        <w:ind w:left="3600" w:hanging="360"/>
      </w:pPr>
    </w:lvl>
    <w:lvl w:ilvl="5" w:tplc="698A736E" w:tentative="1">
      <w:start w:val="1"/>
      <w:numFmt w:val="lowerRoman"/>
      <w:lvlText w:val="%6."/>
      <w:lvlJc w:val="right"/>
      <w:pPr>
        <w:ind w:left="4320" w:hanging="180"/>
      </w:pPr>
    </w:lvl>
    <w:lvl w:ilvl="6" w:tplc="D800361A" w:tentative="1">
      <w:start w:val="1"/>
      <w:numFmt w:val="decimal"/>
      <w:lvlText w:val="%7."/>
      <w:lvlJc w:val="left"/>
      <w:pPr>
        <w:ind w:left="5040" w:hanging="360"/>
      </w:pPr>
    </w:lvl>
    <w:lvl w:ilvl="7" w:tplc="EA209502" w:tentative="1">
      <w:start w:val="1"/>
      <w:numFmt w:val="lowerLetter"/>
      <w:lvlText w:val="%8."/>
      <w:lvlJc w:val="left"/>
      <w:pPr>
        <w:ind w:left="5760" w:hanging="360"/>
      </w:pPr>
    </w:lvl>
    <w:lvl w:ilvl="8" w:tplc="F8A6B26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E1D"/>
    <w:rsid w:val="003618A7"/>
    <w:rsid w:val="003F2308"/>
    <w:rsid w:val="004C143A"/>
    <w:rsid w:val="00593CD0"/>
    <w:rsid w:val="00820FFE"/>
    <w:rsid w:val="00941652"/>
    <w:rsid w:val="00B74E1D"/>
    <w:rsid w:val="00BB1E39"/>
    <w:rsid w:val="00C5535E"/>
    <w:rsid w:val="00C6696A"/>
    <w:rsid w:val="00D86648"/>
    <w:rsid w:val="00E6600B"/>
    <w:rsid w:val="00ED4071"/>
    <w:rsid w:val="00FB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04C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Cs w:val="20"/>
    </w:rPr>
  </w:style>
  <w:style w:type="paragraph" w:styleId="FootnoteText">
    <w:name w:val="footnote text"/>
    <w:basedOn w:val="Normal"/>
    <w:link w:val="FootnoteTextChar"/>
    <w:rsid w:val="007450E0"/>
    <w:rPr>
      <w:sz w:val="20"/>
      <w:szCs w:val="20"/>
    </w:rPr>
  </w:style>
  <w:style w:type="character" w:customStyle="1" w:styleId="FootnoteTextChar">
    <w:name w:val="Footnote Text Char"/>
    <w:basedOn w:val="DefaultParagraphFont"/>
    <w:link w:val="FootnoteText"/>
    <w:rsid w:val="007450E0"/>
  </w:style>
  <w:style w:type="character" w:styleId="FootnoteReference">
    <w:name w:val="footnote reference"/>
    <w:rsid w:val="007450E0"/>
    <w:rPr>
      <w:vertAlign w:val="superscript"/>
    </w:rPr>
  </w:style>
  <w:style w:type="character" w:customStyle="1" w:styleId="FootnoteTextChar1">
    <w:name w:val="Footnote Text Char1"/>
    <w:rsid w:val="005C2D7E"/>
  </w:style>
  <w:style w:type="character" w:styleId="Strong">
    <w:name w:val="Strong"/>
    <w:qFormat/>
    <w:rsid w:val="00A30BD0"/>
    <w:rPr>
      <w:b/>
      <w:bCs/>
    </w:rPr>
  </w:style>
  <w:style w:type="paragraph" w:styleId="Header">
    <w:name w:val="header"/>
    <w:basedOn w:val="Normal"/>
    <w:link w:val="HeaderChar"/>
    <w:uiPriority w:val="99"/>
    <w:rsid w:val="00DE0334"/>
    <w:pPr>
      <w:tabs>
        <w:tab w:val="center" w:pos="4680"/>
        <w:tab w:val="right" w:pos="9360"/>
      </w:tabs>
    </w:pPr>
  </w:style>
  <w:style w:type="character" w:customStyle="1" w:styleId="HeaderChar">
    <w:name w:val="Header Char"/>
    <w:link w:val="Header"/>
    <w:uiPriority w:val="99"/>
    <w:rsid w:val="00DE0334"/>
    <w:rPr>
      <w:sz w:val="24"/>
      <w:szCs w:val="24"/>
    </w:rPr>
  </w:style>
  <w:style w:type="paragraph" w:styleId="Footer">
    <w:name w:val="footer"/>
    <w:basedOn w:val="Normal"/>
    <w:link w:val="FooterChar"/>
    <w:rsid w:val="00DE0334"/>
    <w:pPr>
      <w:tabs>
        <w:tab w:val="center" w:pos="4680"/>
        <w:tab w:val="right" w:pos="9360"/>
      </w:tabs>
    </w:pPr>
  </w:style>
  <w:style w:type="character" w:customStyle="1" w:styleId="FooterChar">
    <w:name w:val="Footer Char"/>
    <w:link w:val="Footer"/>
    <w:rsid w:val="00DE0334"/>
    <w:rPr>
      <w:sz w:val="24"/>
      <w:szCs w:val="24"/>
    </w:rPr>
  </w:style>
  <w:style w:type="paragraph" w:styleId="Revision">
    <w:name w:val="Revision"/>
    <w:hidden/>
    <w:uiPriority w:val="99"/>
    <w:semiHidden/>
    <w:rsid w:val="001E15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nsumers.cpuc.ca.gov/pao/"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aljcentralfilesid@cpuc.ca.gov" TargetMode="External"/><Relationship Id="rId8" Type="http://schemas.openxmlformats.org/officeDocument/2006/relationships/hyperlink" Target="http://www.sdge.com/regulatory/cpuc.shtml" TargetMode="External"/><Relationship Id="rId9" Type="http://schemas.openxmlformats.org/officeDocument/2006/relationships/hyperlink" Target="http://www.sdge.com/billinserts/regulatory.shtml" TargetMode="External"/><Relationship Id="rId10" Type="http://schemas.openxmlformats.org/officeDocument/2006/relationships/hyperlink" Target="http://subscribecpuc.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A079-810F-0D42-BF24-DA2E166C989B}">
  <ds:schemaRefs>
    <ds:schemaRef ds:uri="http://schemas.openxmlformats.org/officeDocument/2006/bibliography"/>
  </ds:schemaRefs>
</ds:datastoreItem>
</file>

<file path=customXml/itemProps2.xml><?xml version="1.0" encoding="utf-8"?>
<ds:datastoreItem xmlns:ds="http://schemas.openxmlformats.org/officeDocument/2006/customXml" ds:itemID="{C99156ED-BF3F-1A48-8E70-FE685372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1328</Words>
  <Characters>7216</Characters>
  <Application>Microsoft Macintosh Word</Application>
  <DocSecurity>0</DocSecurity>
  <Lines>256</Lines>
  <Paragraphs>80</Paragraphs>
  <ScaleCrop>false</ScaleCrop>
  <HeadingPairs>
    <vt:vector size="2" baseType="variant">
      <vt:variant>
        <vt:lpstr>Title</vt:lpstr>
      </vt:variant>
      <vt:variant>
        <vt:i4>1</vt:i4>
      </vt:variant>
    </vt:vector>
  </HeadingPairs>
  <TitlesOfParts>
    <vt:vector size="1" baseType="lpstr">
      <vt:lpstr>Para mas detalles llame al 1-800-311-7343</vt:lpstr>
    </vt:vector>
  </TitlesOfParts>
  <Manager/>
  <Company>Sempra Energy Utilities</Company>
  <LinksUpToDate>false</LinksUpToDate>
  <CharactersWithSpaces>8512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mas detalles llame al 1-800-311-7343</dc:title>
  <dc:subject/>
  <dc:creator>Kari Kloberdanz</dc:creator>
  <cp:keywords/>
  <dc:description/>
  <cp:lastModifiedBy>Microsoft Office User</cp:lastModifiedBy>
  <cp:revision>2</cp:revision>
  <cp:lastPrinted>2017-04-26T23:19:00Z</cp:lastPrinted>
  <dcterms:created xsi:type="dcterms:W3CDTF">2017-05-01T14:19:00Z</dcterms:created>
  <dcterms:modified xsi:type="dcterms:W3CDTF">2017-05-01T14:19:00Z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ABAAmJ+7jnJ2eOWQzQWIAT2SIh/QpaDvDAeCzcuCtEx3ZioYnMJ0LxspkYdZArC1+7jD</vt:lpwstr>
  </property>
  <property fmtid="{D5CDD505-2E9C-101B-9397-08002B2CF9AE}" pid="3" name="MAIL_MSG_ID1">
    <vt:lpwstr>oFAAuCENMj9rVEKKCjI45HPK5e2Qpx3sJLcQja5m9fiZbeB96tuKsW7g9c8x9/ZZw263fGxvZxAaZaoA
z4I5TU5KnXhqKGopYHkq0+QrAlbFe8KJgsPFSajmUjeTLVGUH2sTEvhCSksQ86vzRjIHYd3jfOV3
aml4PYKH698Ypj/NoRZwmYyYwuE5qTez9BUxXukmGtG32Dt4bE5IHV2pfoXEo3tVUr/PN9yUIMwm
3oqbZVHBvA/2QT9Iu</vt:lpwstr>
  </property>
  <property fmtid="{D5CDD505-2E9C-101B-9397-08002B2CF9AE}" pid="4" name="MAIL_MSG_ID2">
    <vt:lpwstr>ltP1IoRSlKC93iMTAegHOjoOVROMQxTGDJJgWwYyFfONWMRYkTXuO7Yf2CD
bHyx3Ych41dUnMn2gtLi0tBXHDyxHzmrRkaWR4rL2KoKHXO2</vt:lpwstr>
  </property>
  <property fmtid="{D5CDD505-2E9C-101B-9397-08002B2CF9AE}" pid="5" name="RESPONSE_SENDER_NAME">
    <vt:lpwstr>sAAAE9kkUq3pEoIDj4NBZIY8bBF9jxOoqu62aFkwCteBKmY=</vt:lpwstr>
  </property>
  <property fmtid="{D5CDD505-2E9C-101B-9397-08002B2CF9AE}" pid="6" name="_NewReviewCycle">
    <vt:lpwstr/>
  </property>
</Properties>
</file>